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hint="eastAsia" w:ascii="微软雅黑" w:hAnsi="微软雅黑" w:eastAsia="微软雅黑" w:cs="宋体"/>
          <w:b/>
          <w:color w:val="000000" w:themeColor="text1"/>
          <w:kern w:val="0"/>
          <w:sz w:val="32"/>
          <w:szCs w:val="32"/>
          <w:lang w:eastAsia="zh-CN"/>
          <w14:textFill>
            <w14:solidFill>
              <w14:schemeClr w14:val="tx1"/>
            </w14:solidFill>
          </w14:textFill>
        </w:rPr>
      </w:pPr>
      <w:r>
        <w:rPr>
          <w:rFonts w:hint="eastAsia" w:ascii="微软雅黑" w:hAnsi="微软雅黑" w:eastAsia="微软雅黑" w:cs="宋体"/>
          <w:b/>
          <w:color w:val="000000" w:themeColor="text1"/>
          <w:kern w:val="0"/>
          <w:sz w:val="32"/>
          <w:szCs w:val="32"/>
          <w:lang w:eastAsia="zh-CN"/>
          <w14:textFill>
            <w14:solidFill>
              <w14:schemeClr w14:val="tx1"/>
            </w14:solidFill>
          </w14:textFill>
        </w:rPr>
        <w:drawing>
          <wp:inline distT="0" distB="0" distL="114300" distR="114300">
            <wp:extent cx="3657600" cy="2642870"/>
            <wp:effectExtent l="0" t="0" r="0" b="5080"/>
            <wp:docPr id="4" name="图片 4" descr="7-20091313505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200913135055603"/>
                    <pic:cNvPicPr>
                      <a:picLocks noChangeAspect="1"/>
                    </pic:cNvPicPr>
                  </pic:nvPicPr>
                  <pic:blipFill>
                    <a:blip r:embed="rId7"/>
                    <a:stretch>
                      <a:fillRect/>
                    </a:stretch>
                  </pic:blipFill>
                  <pic:spPr>
                    <a:xfrm>
                      <a:off x="0" y="0"/>
                      <a:ext cx="3657600" cy="2642870"/>
                    </a:xfrm>
                    <a:prstGeom prst="rect">
                      <a:avLst/>
                    </a:prstGeom>
                  </pic:spPr>
                </pic:pic>
              </a:graphicData>
            </a:graphic>
          </wp:inline>
        </w:drawing>
      </w:r>
    </w:p>
    <w:p>
      <w:pPr>
        <w:widowControl/>
        <w:jc w:val="center"/>
        <w:outlineLvl w:val="0"/>
        <w:rPr>
          <w:rFonts w:hint="eastAsia" w:ascii="微软雅黑" w:hAnsi="微软雅黑" w:eastAsia="微软雅黑" w:cs="宋体"/>
          <w:b/>
          <w:color w:val="000000" w:themeColor="text1"/>
          <w:kern w:val="0"/>
          <w:sz w:val="32"/>
          <w:szCs w:val="32"/>
          <w:lang w:eastAsia="zh-CN"/>
          <w14:textFill>
            <w14:solidFill>
              <w14:schemeClr w14:val="tx1"/>
            </w14:solidFill>
          </w14:textFill>
        </w:rPr>
      </w:pPr>
    </w:p>
    <w:p>
      <w:pPr>
        <w:widowControl/>
        <w:jc w:val="center"/>
        <w:outlineLvl w:val="0"/>
        <w:rPr>
          <w:rFonts w:hint="eastAsia" w:ascii="宋体" w:hAnsi="宋体" w:eastAsia="宋体" w:cs="宋体"/>
          <w:b/>
          <w:color w:val="000000" w:themeColor="text1"/>
          <w:spacing w:val="20"/>
          <w:kern w:val="0"/>
          <w:sz w:val="72"/>
          <w:szCs w:val="72"/>
          <w14:textFill>
            <w14:solidFill>
              <w14:schemeClr w14:val="tx1"/>
            </w14:solidFill>
          </w14:textFill>
        </w:rPr>
      </w:pPr>
      <w:r>
        <w:rPr>
          <w:rFonts w:hint="eastAsia" w:ascii="宋体" w:hAnsi="宋体" w:eastAsia="宋体" w:cs="宋体"/>
          <w:b/>
          <w:bCs w:val="0"/>
          <w:color w:val="000000" w:themeColor="text1"/>
          <w:spacing w:val="20"/>
          <w:kern w:val="0"/>
          <w:sz w:val="72"/>
          <w:szCs w:val="72"/>
          <w14:textFill>
            <w14:solidFill>
              <w14:schemeClr w14:val="tx1"/>
            </w14:solidFill>
          </w14:textFill>
        </w:rPr>
        <w:t>2023年</w:t>
      </w:r>
      <w:r>
        <w:rPr>
          <w:rFonts w:hint="eastAsia" w:ascii="宋体" w:hAnsi="宋体" w:eastAsia="宋体" w:cs="宋体"/>
          <w:b/>
          <w:bCs w:val="0"/>
          <w:color w:val="000000" w:themeColor="text1"/>
          <w:spacing w:val="20"/>
          <w:kern w:val="0"/>
          <w:sz w:val="72"/>
          <w:szCs w:val="72"/>
          <w:lang w:val="en-US" w:eastAsia="zh-CN"/>
          <w14:textFill>
            <w14:solidFill>
              <w14:schemeClr w14:val="tx1"/>
            </w14:solidFill>
          </w14:textFill>
        </w:rPr>
        <w:t>教育</w:t>
      </w:r>
      <w:r>
        <w:rPr>
          <w:rFonts w:hint="eastAsia" w:ascii="宋体" w:hAnsi="宋体" w:eastAsia="宋体" w:cs="宋体"/>
          <w:b/>
          <w:bCs w:val="0"/>
          <w:color w:val="000000" w:themeColor="text1"/>
          <w:spacing w:val="20"/>
          <w:kern w:val="0"/>
          <w:sz w:val="72"/>
          <w:szCs w:val="72"/>
          <w14:textFill>
            <w14:solidFill>
              <w14:schemeClr w14:val="tx1"/>
            </w14:solidFill>
          </w14:textFill>
        </w:rPr>
        <w:t>学院同等学力</w:t>
      </w:r>
    </w:p>
    <w:p>
      <w:pPr>
        <w:widowControl/>
        <w:jc w:val="center"/>
        <w:outlineLvl w:val="0"/>
        <w:rPr>
          <w:rFonts w:hint="eastAsia" w:ascii="楷体_GB2312" w:hAnsi="楷体_GB2312" w:eastAsia="楷体_GB2312" w:cs="楷体_GB2312"/>
          <w:b/>
          <w:bCs w:val="0"/>
          <w:color w:val="000000" w:themeColor="text1"/>
          <w:spacing w:val="20"/>
          <w:kern w:val="0"/>
          <w:sz w:val="52"/>
          <w:szCs w:val="52"/>
          <w14:textFill>
            <w14:solidFill>
              <w14:schemeClr w14:val="tx1"/>
            </w14:solidFill>
          </w14:textFill>
        </w:rPr>
      </w:pPr>
      <w:r>
        <w:rPr>
          <w:rFonts w:hint="eastAsia" w:ascii="宋体" w:hAnsi="宋体" w:eastAsia="宋体" w:cs="宋体"/>
          <w:b/>
          <w:bCs w:val="0"/>
          <w:color w:val="000000" w:themeColor="text1"/>
          <w:spacing w:val="20"/>
          <w:kern w:val="0"/>
          <w:sz w:val="52"/>
          <w:szCs w:val="52"/>
          <w14:textFill>
            <w14:solidFill>
              <w14:schemeClr w14:val="tx1"/>
            </w14:solidFill>
          </w14:textFill>
        </w:rPr>
        <w:t>硕士学位班招生简章</w:t>
      </w:r>
    </w:p>
    <w:p>
      <w:pPr>
        <w:widowControl/>
        <w:jc w:val="center"/>
        <w:outlineLvl w:val="0"/>
        <w:rPr>
          <w:rFonts w:hint="eastAsia" w:ascii="微软雅黑" w:hAnsi="微软雅黑" w:eastAsia="微软雅黑" w:cs="宋体"/>
          <w:b/>
          <w:color w:val="000000" w:themeColor="text1"/>
          <w:kern w:val="0"/>
          <w:sz w:val="32"/>
          <w:szCs w:val="32"/>
          <w14:textFill>
            <w14:solidFill>
              <w14:schemeClr w14:val="tx1"/>
            </w14:solidFill>
          </w14:textFill>
        </w:rPr>
      </w:pPr>
    </w:p>
    <w:p>
      <w:pPr>
        <w:widowControl/>
        <w:jc w:val="center"/>
        <w:outlineLvl w:val="0"/>
        <w:rPr>
          <w:rFonts w:hint="eastAsia" w:ascii="微软雅黑" w:hAnsi="微软雅黑" w:eastAsia="微软雅黑" w:cs="宋体"/>
          <w:b/>
          <w:color w:val="000000" w:themeColor="text1"/>
          <w:kern w:val="0"/>
          <w:sz w:val="32"/>
          <w:szCs w:val="32"/>
          <w14:textFill>
            <w14:solidFill>
              <w14:schemeClr w14:val="tx1"/>
            </w14:solidFill>
          </w14:textFill>
        </w:rPr>
      </w:pPr>
    </w:p>
    <w:p>
      <w:pPr>
        <w:widowControl/>
        <w:jc w:val="center"/>
        <w:outlineLvl w:val="0"/>
        <w:rPr>
          <w:rFonts w:hint="eastAsia" w:ascii="微软雅黑" w:hAnsi="微软雅黑" w:eastAsia="微软雅黑" w:cs="宋体"/>
          <w:b/>
          <w:color w:val="000000" w:themeColor="text1"/>
          <w:kern w:val="0"/>
          <w:sz w:val="32"/>
          <w:szCs w:val="32"/>
          <w14:textFill>
            <w14:solidFill>
              <w14:schemeClr w14:val="tx1"/>
            </w14:solidFill>
          </w14:textFill>
        </w:rPr>
      </w:pPr>
    </w:p>
    <w:p>
      <w:pPr>
        <w:widowControl/>
        <w:jc w:val="center"/>
        <w:outlineLvl w:val="0"/>
        <w:rPr>
          <w:rFonts w:hint="eastAsia" w:ascii="微软雅黑" w:hAnsi="微软雅黑" w:eastAsia="微软雅黑" w:cs="宋体"/>
          <w:b/>
          <w:color w:val="000000" w:themeColor="text1"/>
          <w:kern w:val="0"/>
          <w:sz w:val="32"/>
          <w:szCs w:val="32"/>
          <w14:textFill>
            <w14:solidFill>
              <w14:schemeClr w14:val="tx1"/>
            </w14:solidFill>
          </w14:textFill>
        </w:rPr>
      </w:pPr>
    </w:p>
    <w:p>
      <w:pPr>
        <w:widowControl/>
        <w:jc w:val="center"/>
        <w:outlineLvl w:val="0"/>
        <w:rPr>
          <w:rFonts w:hint="eastAsia" w:ascii="微软雅黑" w:hAnsi="微软雅黑" w:eastAsia="微软雅黑" w:cs="宋体"/>
          <w:b/>
          <w:color w:val="000000" w:themeColor="text1"/>
          <w:kern w:val="0"/>
          <w:sz w:val="32"/>
          <w:szCs w:val="32"/>
          <w14:textFill>
            <w14:solidFill>
              <w14:schemeClr w14:val="tx1"/>
            </w14:solidFill>
          </w14:textFill>
        </w:rPr>
      </w:pPr>
    </w:p>
    <w:p>
      <w:pPr>
        <w:widowControl/>
        <w:jc w:val="center"/>
        <w:outlineLvl w:val="0"/>
        <w:rPr>
          <w:rFonts w:hint="eastAsia" w:ascii="楷体_GB2312" w:hAnsi="楷体_GB2312" w:eastAsia="楷体_GB2312" w:cs="楷体_GB2312"/>
          <w:b/>
          <w:color w:val="000000" w:themeColor="text1"/>
          <w:kern w:val="0"/>
          <w:sz w:val="32"/>
          <w:szCs w:val="32"/>
          <w:highlight w:val="none"/>
          <w14:shadow w14:blurRad="50800" w14:dist="38100" w14:dir="2700000" w14:sx="100000" w14:sy="100000" w14:kx="0" w14:ky="0" w14:algn="tl">
            <w14:srgbClr w14:val="000000">
              <w14:alpha w14:val="60000"/>
            </w14:srgbClr>
          </w14:shadow>
          <w14:textFill>
            <w14:solidFill>
              <w14:schemeClr w14:val="tx1"/>
            </w14:solidFill>
          </w14:textFill>
        </w:rPr>
      </w:pPr>
      <w:r>
        <w:rPr>
          <w:rFonts w:hint="eastAsia" w:ascii="楷体_GB2312" w:hAnsi="楷体_GB2312" w:eastAsia="楷体_GB2312" w:cs="楷体_GB2312"/>
          <w:b/>
          <w:color w:val="000000" w:themeColor="text1"/>
          <w:kern w:val="0"/>
          <w:sz w:val="32"/>
          <w:szCs w:val="32"/>
          <w:highlight w:val="none"/>
          <w:lang w:val="en-US" w:eastAsia="zh-CN"/>
          <w14:shadow w14:blurRad="50800" w14:dist="38100" w14:dir="2700000" w14:sx="100000" w14:sy="100000" w14:kx="0" w14:ky="0" w14:algn="tl">
            <w14:srgbClr w14:val="000000">
              <w14:alpha w14:val="60000"/>
            </w14:srgbClr>
          </w14:shadow>
          <w14:textFill>
            <w14:solidFill>
              <w14:schemeClr w14:val="tx1"/>
            </w14:solidFill>
          </w14:textFill>
        </w:rPr>
        <w:t>湖南·湘潭</w:t>
      </w:r>
    </w:p>
    <w:p>
      <w:pPr>
        <w:widowControl/>
        <w:jc w:val="center"/>
        <w:outlineLvl w:val="0"/>
        <w:rPr>
          <w:rFonts w:hint="eastAsia" w:ascii="楷体_GB2312" w:hAnsi="楷体_GB2312" w:eastAsia="楷体_GB2312" w:cs="楷体_GB2312"/>
          <w:b/>
          <w:color w:val="000000" w:themeColor="text1"/>
          <w:kern w:val="0"/>
          <w:sz w:val="32"/>
          <w:szCs w:val="32"/>
          <w:highlight w:val="none"/>
          <w:lang w:val="en-US" w:eastAsia="zh-CN"/>
          <w14:shadow w14:blurRad="50800" w14:dist="38100" w14:dir="2700000" w14:sx="100000" w14:sy="100000" w14:kx="0" w14:ky="0" w14:algn="tl">
            <w14:srgbClr w14:val="000000">
              <w14:alpha w14:val="60000"/>
            </w14:srgbClr>
          </w14:shadow>
          <w14:textFill>
            <w14:solidFill>
              <w14:schemeClr w14:val="tx1"/>
            </w14:solidFill>
          </w14:textFill>
        </w:rPr>
        <w:sectPr>
          <w:headerReference r:id="rId3" w:type="default"/>
          <w:pgSz w:w="11906" w:h="16838"/>
          <w:pgMar w:top="1134" w:right="1134" w:bottom="1134" w:left="1134" w:header="851" w:footer="992" w:gutter="0"/>
          <w:cols w:space="425" w:num="1"/>
          <w:docGrid w:type="lines" w:linePitch="312" w:charSpace="0"/>
        </w:sectPr>
      </w:pPr>
    </w:p>
    <w:p>
      <w:pPr>
        <w:widowControl/>
        <w:jc w:val="center"/>
        <w:outlineLvl w:val="0"/>
        <w:rPr>
          <w:rFonts w:hint="eastAsia" w:ascii="微软雅黑" w:hAnsi="微软雅黑" w:eastAsia="微软雅黑" w:cs="宋体"/>
          <w:b/>
          <w:color w:val="000000" w:themeColor="text1"/>
          <w:kern w:val="0"/>
          <w:sz w:val="32"/>
          <w:szCs w:val="32"/>
          <w14:textFill>
            <w14:solidFill>
              <w14:schemeClr w14:val="tx1"/>
            </w14:solidFill>
          </w14:textFill>
        </w:rPr>
      </w:pPr>
    </w:p>
    <w:p>
      <w:pPr>
        <w:widowControl/>
        <w:jc w:val="center"/>
        <w:outlineLvl w:val="0"/>
        <w:rPr>
          <w:rFonts w:ascii="微软雅黑" w:hAnsi="微软雅黑" w:eastAsia="微软雅黑" w:cs="宋体"/>
          <w:b/>
          <w:color w:val="000000" w:themeColor="text1"/>
          <w:kern w:val="0"/>
          <w:sz w:val="32"/>
          <w:szCs w:val="32"/>
          <w14:textFill>
            <w14:solidFill>
              <w14:schemeClr w14:val="tx1"/>
            </w14:solidFill>
          </w14:textFill>
        </w:rPr>
      </w:pPr>
      <w:r>
        <w:rPr>
          <w:rFonts w:hint="eastAsia" w:ascii="微软雅黑" w:hAnsi="微软雅黑" w:eastAsia="微软雅黑" w:cs="宋体"/>
          <w:b/>
          <w:color w:val="000000" w:themeColor="text1"/>
          <w:kern w:val="0"/>
          <w:sz w:val="32"/>
          <w:szCs w:val="32"/>
          <w14:textFill>
            <w14:solidFill>
              <w14:schemeClr w14:val="tx1"/>
            </w14:solidFill>
          </w14:textFill>
        </w:rPr>
        <w:t>湖南科技大学2023年</w:t>
      </w:r>
      <w:r>
        <w:rPr>
          <w:rFonts w:hint="eastAsia" w:ascii="微软雅黑" w:hAnsi="微软雅黑" w:eastAsia="微软雅黑" w:cs="宋体"/>
          <w:b/>
          <w:color w:val="000000" w:themeColor="text1"/>
          <w:kern w:val="0"/>
          <w:sz w:val="32"/>
          <w:szCs w:val="32"/>
          <w:lang w:val="en-US" w:eastAsia="zh-CN"/>
          <w14:textFill>
            <w14:solidFill>
              <w14:schemeClr w14:val="tx1"/>
            </w14:solidFill>
          </w14:textFill>
        </w:rPr>
        <w:t>教育</w:t>
      </w:r>
      <w:r>
        <w:rPr>
          <w:rFonts w:hint="eastAsia" w:ascii="微软雅黑" w:hAnsi="微软雅黑" w:eastAsia="微软雅黑" w:cs="宋体"/>
          <w:b/>
          <w:color w:val="000000" w:themeColor="text1"/>
          <w:kern w:val="0"/>
          <w:sz w:val="32"/>
          <w:szCs w:val="32"/>
          <w14:textFill>
            <w14:solidFill>
              <w14:schemeClr w14:val="tx1"/>
            </w14:solidFill>
          </w14:textFill>
        </w:rPr>
        <w:t>学院同等学力硕士学位班招生简章</w:t>
      </w:r>
    </w:p>
    <w:p>
      <w:pPr>
        <w:widowControl/>
        <w:spacing w:line="504" w:lineRule="atLeast"/>
        <w:jc w:val="left"/>
        <w:rPr>
          <w:rFonts w:ascii="微软雅黑" w:hAnsi="微软雅黑" w:eastAsia="微软雅黑" w:cs="宋体"/>
          <w:color w:val="000000" w:themeColor="text1"/>
          <w:kern w:val="0"/>
          <w:szCs w:val="21"/>
          <w14:textFill>
            <w14:solidFill>
              <w14:schemeClr w14:val="tx1"/>
            </w14:solidFill>
          </w14:textFill>
        </w:rPr>
      </w:pPr>
    </w:p>
    <w:p>
      <w:pPr>
        <w:widowControl/>
        <w:spacing w:line="504" w:lineRule="atLeast"/>
        <w:ind w:firstLine="480"/>
        <w:jc w:val="center"/>
        <w:rPr>
          <w:rFonts w:ascii="黑体" w:hAnsi="黑体" w:eastAsia="黑体" w:cs="宋体"/>
          <w:color w:val="000000" w:themeColor="text1"/>
          <w:kern w:val="0"/>
          <w:sz w:val="28"/>
          <w:szCs w:val="28"/>
          <w14:textFill>
            <w14:solidFill>
              <w14:schemeClr w14:val="tx1"/>
            </w14:solidFill>
          </w14:textFill>
        </w:rPr>
      </w:pPr>
      <w:r>
        <w:rPr>
          <w:rFonts w:hint="eastAsia" w:ascii="黑体" w:hAnsi="黑体" w:eastAsia="黑体" w:cs="宋体"/>
          <w:b/>
          <w:bCs/>
          <w:color w:val="000000" w:themeColor="text1"/>
          <w:kern w:val="0"/>
          <w:sz w:val="28"/>
          <w:szCs w:val="28"/>
          <w14:textFill>
            <w14:solidFill>
              <w14:schemeClr w14:val="tx1"/>
            </w14:solidFill>
          </w14:textFill>
        </w:rPr>
        <w:t>※学院简介※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6" w:beforeAutospacing="0" w:after="156" w:afterAutospacing="0" w:line="440" w:lineRule="exact"/>
        <w:ind w:left="0" w:right="0" w:firstLine="560"/>
        <w:jc w:val="both"/>
        <w:textAlignment w:val="auto"/>
        <w:rPr>
          <w:rFonts w:hint="eastAsia" w:ascii="仿宋" w:hAnsi="仿宋" w:eastAsia="仿宋" w:cs="仿宋"/>
          <w:b/>
          <w:bCs/>
          <w:i w:val="0"/>
          <w:iCs w:val="0"/>
          <w:caps w:val="0"/>
          <w:color w:val="000000" w:themeColor="text1"/>
          <w:spacing w:val="0"/>
          <w:sz w:val="28"/>
          <w:szCs w:val="28"/>
          <w14:textFill>
            <w14:solidFill>
              <w14:schemeClr w14:val="tx1"/>
            </w14:solidFill>
          </w14:textFill>
        </w:rPr>
      </w:pPr>
      <w:r>
        <w:rPr>
          <w:rFonts w:hint="eastAsia" w:ascii="仿宋" w:hAnsi="仿宋" w:eastAsia="仿宋" w:cs="仿宋"/>
          <w:b/>
          <w:bCs/>
          <w:i w:val="0"/>
          <w:iCs w:val="0"/>
          <w:caps w:val="0"/>
          <w:color w:val="000000" w:themeColor="text1"/>
          <w:spacing w:val="0"/>
          <w:sz w:val="28"/>
          <w:szCs w:val="28"/>
          <w:shd w:val="clear" w:fill="FFFFFF"/>
          <w14:textFill>
            <w14:solidFill>
              <w14:schemeClr w14:val="tx1"/>
            </w14:solidFill>
          </w14:textFill>
        </w:rPr>
        <w:t>发展沿革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eastAsia" w:ascii="仿宋" w:hAnsi="仿宋" w:eastAsia="仿宋" w:cs="仿宋"/>
          <w:i w:val="0"/>
          <w:iCs w:val="0"/>
          <w:caps w:val="0"/>
          <w:color w:val="000000" w:themeColor="text1"/>
          <w:spacing w:val="0"/>
          <w:sz w:val="28"/>
          <w:szCs w:val="28"/>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教育学院源于1958年成立的湘潭师范专科学校教育心理学教研室；1985年，湘潭师范学院成立，同时组建教育心理学教学部、教育科学研究所；1998年，湘潭师范学院教育心理学教学部与教育科学研究所合并，成立湘潭师范学院教育系；2003年，湘潭工学院与湘潭师范学院合并成立湖南科技大学，在原湘潭师范学院教育系、原湘潭工学院高等教育研究所的基础上，组建湖南科技大学教育学院。湖南科技大学教育科学研究院成立于2010年12月，是学校直属科研机构，2021年7月调整后挂靠教育学院管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6" w:beforeAutospacing="0" w:after="156" w:afterAutospacing="0" w:line="440" w:lineRule="exact"/>
        <w:ind w:left="0" w:right="0" w:firstLine="560"/>
        <w:jc w:val="both"/>
        <w:textAlignment w:val="auto"/>
        <w:rPr>
          <w:rFonts w:hint="eastAsia" w:ascii="仿宋" w:hAnsi="仿宋" w:eastAsia="仿宋" w:cs="仿宋"/>
          <w:i w:val="0"/>
          <w:iCs w:val="0"/>
          <w:caps w:val="0"/>
          <w:color w:val="000000" w:themeColor="text1"/>
          <w:spacing w:val="0"/>
          <w:sz w:val="28"/>
          <w:szCs w:val="28"/>
          <w14:textFill>
            <w14:solidFill>
              <w14:schemeClr w14:val="tx1"/>
            </w14:solidFill>
          </w14:textFill>
        </w:rPr>
      </w:pPr>
      <w:r>
        <w:rPr>
          <w:rFonts w:hint="eastAsia" w:ascii="仿宋" w:hAnsi="仿宋" w:eastAsia="仿宋" w:cs="仿宋"/>
          <w:b/>
          <w:bCs/>
          <w:i w:val="0"/>
          <w:iCs w:val="0"/>
          <w:caps w:val="0"/>
          <w:color w:val="000000" w:themeColor="text1"/>
          <w:spacing w:val="0"/>
          <w:sz w:val="28"/>
          <w:szCs w:val="28"/>
          <w:shd w:val="clear" w:fill="FFFFFF"/>
          <w14:textFill>
            <w14:solidFill>
              <w14:schemeClr w14:val="tx1"/>
            </w14:solidFill>
          </w14:textFill>
        </w:rPr>
        <w:t>系所、研究机构与师资队伍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eastAsia" w:ascii="仿宋" w:hAnsi="仿宋" w:eastAsia="仿宋" w:cs="仿宋"/>
          <w:i w:val="0"/>
          <w:iCs w:val="0"/>
          <w:caps w:val="0"/>
          <w:color w:val="000000" w:themeColor="text1"/>
          <w:spacing w:val="0"/>
          <w:sz w:val="28"/>
          <w:szCs w:val="28"/>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学院现设有教育学系、小学教育系、心理学系、教育技术学系4个教学系和1个实验教学中心。拥有湖南省普通高校哲学社会科学重点研究基地“乡村教育振兴研究院”、湖南省“十三五”教育科学研究基地“教育体制机制改革研究基地”、湖南省“十四五”教育科学研究基地“教育治理体系与治理能力现代化研究基地”、湖南省“十四五”教育科学研究重点培育基地“教育信息化研究基地（技术应用方向）”、湖南省普通高等学校课程思政教学研究示范中心“教师教育课程思政研究中心”等省级科研平台和机构，获批湖南省新时代基础教育名师名校长培养基地。设有“基础教育发展研究院”“基础教育教材研究院”“教育资源与智能教育研究院”“教育政策与法规研究院”等校级科研机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eastAsia" w:ascii="仿宋" w:hAnsi="仿宋" w:eastAsia="仿宋" w:cs="仿宋"/>
          <w:i w:val="0"/>
          <w:iCs w:val="0"/>
          <w:caps w:val="0"/>
          <w:color w:val="000000" w:themeColor="text1"/>
          <w:spacing w:val="0"/>
          <w:sz w:val="28"/>
          <w:szCs w:val="28"/>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教育学院现有教职工91人，其中教授27人、副教授24人，博士58人，湖南省“芙蓉学者奖励计划”青年学者、讲座教授各1人，湖南省新世纪121人才工程人选、121创新人才培养工程第一批人选4人，“湖湘青年英才支持项目”人选1人，校“湘江学者”特聘教授1人，博士生导师12人，硕士生导师60人（含兼职）；教育科学研究院现有教师54人，其中教授13人、副教授22人，博士32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6" w:beforeAutospacing="0" w:after="156" w:afterAutospacing="0" w:line="440" w:lineRule="exact"/>
        <w:ind w:left="0" w:right="0" w:firstLine="560"/>
        <w:jc w:val="both"/>
        <w:textAlignment w:val="auto"/>
        <w:rPr>
          <w:rFonts w:hint="eastAsia" w:ascii="仿宋" w:hAnsi="仿宋" w:eastAsia="仿宋" w:cs="仿宋"/>
          <w:i w:val="0"/>
          <w:iCs w:val="0"/>
          <w:caps w:val="0"/>
          <w:color w:val="000000" w:themeColor="text1"/>
          <w:spacing w:val="0"/>
          <w:sz w:val="28"/>
          <w:szCs w:val="28"/>
          <w14:textFill>
            <w14:solidFill>
              <w14:schemeClr w14:val="tx1"/>
            </w14:solidFill>
          </w14:textFill>
        </w:rPr>
      </w:pPr>
      <w:r>
        <w:rPr>
          <w:rFonts w:hint="eastAsia" w:ascii="仿宋" w:hAnsi="仿宋" w:eastAsia="仿宋" w:cs="仿宋"/>
          <w:b/>
          <w:bCs/>
          <w:i w:val="0"/>
          <w:iCs w:val="0"/>
          <w:caps w:val="0"/>
          <w:color w:val="000000" w:themeColor="text1"/>
          <w:spacing w:val="0"/>
          <w:sz w:val="28"/>
          <w:szCs w:val="28"/>
          <w:shd w:val="clear" w:fill="FFFFFF"/>
          <w14:textFill>
            <w14:solidFill>
              <w14:schemeClr w14:val="tx1"/>
            </w14:solidFill>
          </w14:textFill>
        </w:rPr>
        <w:t>专业与学位点及相关平台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eastAsia" w:ascii="仿宋" w:hAnsi="仿宋" w:eastAsia="仿宋" w:cs="仿宋"/>
          <w:i w:val="0"/>
          <w:iCs w:val="0"/>
          <w:caps w:val="0"/>
          <w:color w:val="000000" w:themeColor="text1"/>
          <w:spacing w:val="0"/>
          <w:sz w:val="28"/>
          <w:szCs w:val="28"/>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学院设有教育学、小学教育、教育技术学、应用心理学4个本科专业，其中教育学为国家一流本科专业建设点，小学教育、应用心理学专业为湖南省一流本科专业建设点，教育技术学专业为湖南省重点专业，“教育学”为学校重点学科，小学教育专业为学校特色专业，在校本科生1236人。拥有“教育学”“心理学”一级学科硕士学位授予权和“教育硕士”专业学位授予权，在校全日制与非全日制硕士研究生535人。《现代教育学》《课程与教学论》等为湖南省精品课程，《教育研究方法》为湖南省研究生精品示范课程，《教育学原理》《教育心理学》《现代教育技术》《心理教育与辅导项目实践》等为湖南省一流本科课程，《教育研究方法》教学团队为湖南省研究生优秀教学团队。学院拥有湖南省首家“全国教育硕士专业学位研究生联合培养示范基地”，拥有湖南省普通高校实践教学建设项目“湖南科技大学教师教育大学生创新训练中心”、湖南省普通高校校企合作创新创业教育基地“湖南科技大学教师教育类专业创新创业教育基地”、湖南省普通高校创新创业教育中心“‘人工智能+’师范生创新创业教育中心”、湖南省教育学研究生培养创新基地、“留守儿童心理发展与教育”湖南省研究生培养创新基地、湖南科技大学——湖南威阿智能科技有限公司研究生联合培养基地。学院仪器设备总值达1800多万元；资料室收藏中外文教育类图书4万余册，中外文专业期刊120多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6" w:beforeAutospacing="0" w:after="156" w:afterAutospacing="0" w:line="440" w:lineRule="exact"/>
        <w:ind w:left="0" w:right="0" w:firstLine="560"/>
        <w:jc w:val="both"/>
        <w:textAlignment w:val="auto"/>
        <w:rPr>
          <w:rFonts w:hint="eastAsia" w:ascii="仿宋" w:hAnsi="仿宋" w:eastAsia="仿宋" w:cs="仿宋"/>
          <w:i w:val="0"/>
          <w:iCs w:val="0"/>
          <w:caps w:val="0"/>
          <w:color w:val="000000" w:themeColor="text1"/>
          <w:spacing w:val="0"/>
          <w:sz w:val="28"/>
          <w:szCs w:val="28"/>
          <w14:textFill>
            <w14:solidFill>
              <w14:schemeClr w14:val="tx1"/>
            </w14:solidFill>
          </w14:textFill>
        </w:rPr>
      </w:pPr>
      <w:r>
        <w:rPr>
          <w:rFonts w:hint="eastAsia" w:ascii="仿宋" w:hAnsi="仿宋" w:eastAsia="仿宋" w:cs="仿宋"/>
          <w:b/>
          <w:bCs/>
          <w:i w:val="0"/>
          <w:iCs w:val="0"/>
          <w:caps w:val="0"/>
          <w:color w:val="000000" w:themeColor="text1"/>
          <w:spacing w:val="0"/>
          <w:sz w:val="28"/>
          <w:szCs w:val="28"/>
          <w:shd w:val="clear" w:fill="FFFFFF"/>
          <w14:textFill>
            <w14:solidFill>
              <w14:schemeClr w14:val="tx1"/>
            </w14:solidFill>
          </w14:textFill>
        </w:rPr>
        <w:t>科学研究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eastAsia" w:ascii="仿宋" w:hAnsi="仿宋" w:eastAsia="仿宋" w:cs="仿宋"/>
          <w:i w:val="0"/>
          <w:iCs w:val="0"/>
          <w:caps w:val="0"/>
          <w:color w:val="000000" w:themeColor="text1"/>
          <w:spacing w:val="0"/>
          <w:sz w:val="28"/>
          <w:szCs w:val="28"/>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学院坚持以学科建设为统领，着力提高科学研究水平，形成了教育学原理、课程与教学论、高等教育学、教育技术学、发展心理学、教育心理学、健康心理学等稳定的学科发展方向。近五年来，立项主持各类省级及以上科研课题130余项。在《教育研究》《高等教育研究》《心理学报》《</w:t>
      </w:r>
      <w:r>
        <w:rPr>
          <w:rFonts w:hint="eastAsia" w:ascii="仿宋" w:hAnsi="仿宋" w:eastAsia="仿宋" w:cs="仿宋"/>
          <w:i/>
          <w:iCs/>
          <w:caps w:val="0"/>
          <w:color w:val="000000" w:themeColor="text1"/>
          <w:spacing w:val="0"/>
          <w:sz w:val="28"/>
          <w:szCs w:val="28"/>
          <w:shd w:val="clear" w:fill="FFFFFF"/>
          <w14:textFill>
            <w14:solidFill>
              <w14:schemeClr w14:val="tx1"/>
            </w14:solidFill>
          </w14:textFill>
        </w:rPr>
        <w:t>The Asia-Pacific Education Researcher</w:t>
      </w: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等国内外刊物公开发表论文近400篇，其中CSSCI、SSCI等刊物124篇，出版学术著作近40部，获省部级以上教学、科研成果奖40余项。学院坚持开放办学，与国内外20余所高校和200多所中小学开展合作办学和科学研究协同合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6" w:beforeAutospacing="0" w:after="156" w:afterAutospacing="0" w:line="440" w:lineRule="exact"/>
        <w:ind w:left="0" w:right="0" w:firstLine="560"/>
        <w:jc w:val="both"/>
        <w:textAlignment w:val="auto"/>
        <w:rPr>
          <w:rFonts w:hint="eastAsia" w:ascii="仿宋" w:hAnsi="仿宋" w:eastAsia="仿宋" w:cs="仿宋"/>
          <w:i w:val="0"/>
          <w:iCs w:val="0"/>
          <w:caps w:val="0"/>
          <w:color w:val="000000" w:themeColor="text1"/>
          <w:spacing w:val="0"/>
          <w:sz w:val="28"/>
          <w:szCs w:val="28"/>
          <w14:textFill>
            <w14:solidFill>
              <w14:schemeClr w14:val="tx1"/>
            </w14:solidFill>
          </w14:textFill>
        </w:rPr>
      </w:pPr>
      <w:r>
        <w:rPr>
          <w:rFonts w:hint="eastAsia" w:ascii="仿宋" w:hAnsi="仿宋" w:eastAsia="仿宋" w:cs="仿宋"/>
          <w:b/>
          <w:bCs/>
          <w:i w:val="0"/>
          <w:iCs w:val="0"/>
          <w:caps w:val="0"/>
          <w:color w:val="000000" w:themeColor="text1"/>
          <w:spacing w:val="0"/>
          <w:sz w:val="28"/>
          <w:szCs w:val="28"/>
          <w:shd w:val="clear" w:fill="FFFFFF"/>
          <w14:textFill>
            <w14:solidFill>
              <w14:schemeClr w14:val="tx1"/>
            </w14:solidFill>
          </w14:textFill>
        </w:rPr>
        <w:t>学生获奖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eastAsia" w:ascii="仿宋" w:hAnsi="仿宋" w:eastAsia="仿宋" w:cs="仿宋"/>
          <w:i w:val="0"/>
          <w:iCs w:val="0"/>
          <w:caps w:val="0"/>
          <w:color w:val="000000" w:themeColor="text1"/>
          <w:spacing w:val="0"/>
          <w:sz w:val="28"/>
          <w:szCs w:val="28"/>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近年来，本科生英语四级通过率稳居学校前列，毕业生一次性就业率</w:t>
      </w:r>
      <w:r>
        <w:rPr>
          <w:rFonts w:hint="eastAsia" w:ascii="仿宋" w:hAnsi="仿宋" w:eastAsia="仿宋" w:cs="仿宋"/>
          <w:b/>
          <w:bCs/>
          <w:i w:val="0"/>
          <w:iCs w:val="0"/>
          <w:caps w:val="0"/>
          <w:color w:val="000000" w:themeColor="text1"/>
          <w:spacing w:val="0"/>
          <w:sz w:val="28"/>
          <w:szCs w:val="28"/>
          <w:shd w:val="clear" w:fill="FFFFFF"/>
          <w14:textFill>
            <w14:solidFill>
              <w14:schemeClr w14:val="tx1"/>
            </w14:solidFill>
          </w14:textFill>
        </w:rPr>
        <w:t>均达</w:t>
      </w: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90%左右。本科生1人获“全国大学生自强之星”，获第八届“互联网+”创新创业大赛省赛金奖1项、国赛铜奖1项，“挑战杯”大学生课外学术科技作品竞赛省赛金奖1项、银奖1项以及国赛三等奖2项、累进创新奖铜奖1项，全国大学生英语竞赛一等奖1项、二等奖3项、三等奖5项，“iTeach”全国大学生数字化教育应用创新大赛二等奖1项、三等奖9项；获湖南省师范生教学技能竞赛一等奖2项、二等奖1项。研究生获国家级教学技能大赛一等奖3项、二等奖14项、三等奖8项，优秀设计奖10项，获省级教学技能大赛一等奖5项、二等奖2项、三等奖2项，获省级创新创业大赛银奖1项、铜奖1项、三等奖6项，获湖南省优秀硕士学位论文近10篇。“木槿感恩支教团”先后被评为“全国高校最佳学生社团”、全国煤炭行业“五四红旗团支部”、湖南省“芙蓉学子·榜样力量”公益行动奖、“湖南省高校百优社团”、湖南省暑期“三下乡”优秀实践团队，并入选团中央“七彩四点半”示范实施团队、湖南省2022年“七彩假期”优秀志愿服务团队；留守儿童心灵呵护志愿团获湖南省“芙蓉学子•榜样力量”道德风尚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480"/>
        <w:jc w:val="both"/>
        <w:textAlignment w:val="auto"/>
        <w:rPr>
          <w:rFonts w:hint="eastAsia" w:ascii="仿宋" w:hAnsi="仿宋" w:eastAsia="仿宋" w:cs="仿宋"/>
          <w:i w:val="0"/>
          <w:iCs w:val="0"/>
          <w:caps w:val="0"/>
          <w:color w:val="000000" w:themeColor="text1"/>
          <w:spacing w:val="0"/>
          <w:sz w:val="28"/>
          <w:szCs w:val="28"/>
          <w14:textFill>
            <w14:solidFill>
              <w14:schemeClr w14:val="tx1"/>
            </w14:solidFill>
          </w14:textFill>
        </w:rPr>
      </w:pPr>
      <w:r>
        <w:rPr>
          <w:rFonts w:hint="eastAsia" w:ascii="仿宋" w:hAnsi="仿宋" w:eastAsia="仿宋" w:cs="仿宋"/>
          <w:i w:val="0"/>
          <w:iCs w:val="0"/>
          <w:caps w:val="0"/>
          <w:color w:val="000000" w:themeColor="text1"/>
          <w:spacing w:val="0"/>
          <w:sz w:val="28"/>
          <w:szCs w:val="28"/>
          <w:shd w:val="clear" w:fill="FFFFFF"/>
          <w14:textFill>
            <w14:solidFill>
              <w14:schemeClr w14:val="tx1"/>
            </w14:solidFill>
          </w14:textFill>
        </w:rPr>
        <w:t>学院将继续秉承师范教育办学传统，着力弘扬“师范+科技”办学特色，为把学院建设成为湖南领先、全国有一定影响的教学研究型学院而努力奋斗。</w:t>
      </w:r>
    </w:p>
    <w:p>
      <w:pPr>
        <w:keepNext w:val="0"/>
        <w:keepLines w:val="0"/>
        <w:pageBreakBefore w:val="0"/>
        <w:widowControl/>
        <w:kinsoku/>
        <w:wordWrap/>
        <w:overflowPunct/>
        <w:topLinePunct w:val="0"/>
        <w:autoSpaceDE/>
        <w:autoSpaceDN/>
        <w:bidi w:val="0"/>
        <w:adjustRightInd/>
        <w:snapToGrid/>
        <w:spacing w:line="440" w:lineRule="exact"/>
        <w:ind w:firstLine="480"/>
        <w:jc w:val="center"/>
        <w:textAlignment w:val="auto"/>
        <w:rPr>
          <w:rFonts w:ascii="黑体" w:hAnsi="黑体" w:eastAsia="黑体" w:cs="宋体"/>
          <w:b/>
          <w:bCs/>
          <w:color w:val="000000" w:themeColor="text1"/>
          <w:kern w:val="0"/>
          <w:sz w:val="28"/>
          <w:szCs w:val="28"/>
          <w14:textFill>
            <w14:solidFill>
              <w14:schemeClr w14:val="tx1"/>
            </w14:solidFill>
          </w14:textFill>
        </w:rPr>
      </w:pPr>
      <w:r>
        <w:rPr>
          <w:rFonts w:hint="eastAsia" w:ascii="黑体" w:hAnsi="黑体" w:eastAsia="黑体" w:cs="宋体"/>
          <w:b/>
          <w:bCs/>
          <w:color w:val="000000" w:themeColor="text1"/>
          <w:kern w:val="0"/>
          <w:sz w:val="28"/>
          <w:szCs w:val="28"/>
          <w14:textFill>
            <w14:solidFill>
              <w14:schemeClr w14:val="tx1"/>
            </w14:solidFill>
          </w14:textFill>
        </w:rPr>
        <w:t>※专业方向※</w:t>
      </w:r>
    </w:p>
    <w:p>
      <w:pPr>
        <w:keepNext w:val="0"/>
        <w:keepLines w:val="0"/>
        <w:pageBreakBefore w:val="0"/>
        <w:widowControl/>
        <w:kinsoku/>
        <w:wordWrap/>
        <w:overflowPunct/>
        <w:topLinePunct w:val="0"/>
        <w:autoSpaceDE/>
        <w:autoSpaceDN/>
        <w:bidi w:val="0"/>
        <w:adjustRightInd/>
        <w:snapToGri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r>
        <w:rPr>
          <w:rFonts w:hint="eastAsia" w:ascii="仿宋" w:hAnsi="仿宋" w:eastAsia="仿宋" w:cs="宋体"/>
          <w:color w:val="000000" w:themeColor="text1"/>
          <w:kern w:val="0"/>
          <w:sz w:val="28"/>
          <w:szCs w:val="28"/>
          <w:lang w:val="en-US" w:eastAsia="zh-CN"/>
          <w14:textFill>
            <w14:solidFill>
              <w14:schemeClr w14:val="tx1"/>
            </w14:solidFill>
          </w14:textFill>
        </w:rPr>
        <w:t>教育学</w:t>
      </w:r>
    </w:p>
    <w:p>
      <w:pPr>
        <w:keepNext w:val="0"/>
        <w:keepLines w:val="0"/>
        <w:pageBreakBefore w:val="0"/>
        <w:widowControl/>
        <w:kinsoku/>
        <w:wordWrap/>
        <w:overflowPunct/>
        <w:topLinePunct w:val="0"/>
        <w:autoSpaceDE/>
        <w:autoSpaceDN/>
        <w:bidi w:val="0"/>
        <w:adjustRightInd/>
        <w:snapToGrid/>
        <w:spacing w:line="440" w:lineRule="exact"/>
        <w:ind w:firstLine="480"/>
        <w:jc w:val="center"/>
        <w:textAlignment w:val="auto"/>
        <w:rPr>
          <w:rFonts w:ascii="黑体" w:hAnsi="黑体" w:eastAsia="黑体" w:cs="宋体"/>
          <w:b/>
          <w:bCs/>
          <w:color w:val="000000" w:themeColor="text1"/>
          <w:kern w:val="0"/>
          <w:sz w:val="28"/>
          <w:szCs w:val="28"/>
          <w14:textFill>
            <w14:solidFill>
              <w14:schemeClr w14:val="tx1"/>
            </w14:solidFill>
          </w14:textFill>
        </w:rPr>
      </w:pPr>
      <w:r>
        <w:rPr>
          <w:rFonts w:hint="eastAsia" w:ascii="黑体" w:hAnsi="黑体" w:eastAsia="黑体" w:cs="宋体"/>
          <w:b/>
          <w:bCs/>
          <w:color w:val="000000" w:themeColor="text1"/>
          <w:kern w:val="0"/>
          <w:sz w:val="28"/>
          <w:szCs w:val="28"/>
          <w14:textFill>
            <w14:solidFill>
              <w14:schemeClr w14:val="tx1"/>
            </w14:solidFill>
          </w14:textFill>
        </w:rPr>
        <w:t>※培养对象※</w:t>
      </w:r>
    </w:p>
    <w:p>
      <w:pPr>
        <w:keepNext w:val="0"/>
        <w:keepLines w:val="0"/>
        <w:pageBreakBefore w:val="0"/>
        <w:widowControl/>
        <w:kinsoku/>
        <w:wordWrap/>
        <w:overflowPunct/>
        <w:topLinePunct w:val="0"/>
        <w:autoSpaceDE/>
        <w:autoSpaceDN/>
        <w:bidi w:val="0"/>
        <w:adjustRightInd/>
        <w:snapToGrid/>
        <w:spacing w:line="440" w:lineRule="exact"/>
        <w:ind w:firstLine="480"/>
        <w:jc w:val="left"/>
        <w:textAlignment w:val="auto"/>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获得学士学位，并在获得学士学位后工作三年以上，或虽无学士学位但已获得硕士或博士学位（含经教育部留学服务中心认证的国外学士、硕士和博士学位）</w:t>
      </w:r>
      <w:r>
        <w:rPr>
          <w:rFonts w:hint="eastAsia" w:ascii="仿宋" w:hAnsi="仿宋" w:eastAsia="仿宋" w:cs="宋体"/>
          <w:color w:val="000000" w:themeColor="text1"/>
          <w:kern w:val="0"/>
          <w:sz w:val="28"/>
          <w:szCs w:val="28"/>
          <w:lang w:val="en-US" w:eastAsia="zh-CN"/>
          <w14:textFill>
            <w14:solidFill>
              <w14:schemeClr w14:val="tx1"/>
            </w14:solidFill>
          </w14:textFill>
        </w:rPr>
        <w:t>且</w:t>
      </w:r>
      <w:r>
        <w:rPr>
          <w:rFonts w:hint="eastAsia" w:ascii="仿宋" w:hAnsi="仿宋" w:eastAsia="仿宋" w:cs="宋体"/>
          <w:color w:val="000000" w:themeColor="text1"/>
          <w:kern w:val="0"/>
          <w:sz w:val="28"/>
          <w:szCs w:val="28"/>
          <w14:textFill>
            <w14:solidFill>
              <w14:schemeClr w14:val="tx1"/>
            </w14:solidFill>
          </w14:textFill>
        </w:rPr>
        <w:t>从事本专业相关工作的在职人员。</w:t>
      </w:r>
    </w:p>
    <w:p>
      <w:pPr>
        <w:keepNext w:val="0"/>
        <w:keepLines w:val="0"/>
        <w:pageBreakBefore w:val="0"/>
        <w:widowControl/>
        <w:kinsoku/>
        <w:wordWrap/>
        <w:overflowPunct/>
        <w:topLinePunct w:val="0"/>
        <w:autoSpaceDE/>
        <w:autoSpaceDN/>
        <w:bidi w:val="0"/>
        <w:adjustRightInd/>
        <w:snapToGrid/>
        <w:spacing w:line="440" w:lineRule="exact"/>
        <w:ind w:firstLine="480"/>
        <w:jc w:val="center"/>
        <w:textAlignment w:val="auto"/>
        <w:rPr>
          <w:rFonts w:ascii="黑体" w:hAnsi="黑体" w:eastAsia="黑体" w:cs="宋体"/>
          <w:b/>
          <w:bCs/>
          <w:color w:val="000000" w:themeColor="text1"/>
          <w:kern w:val="0"/>
          <w:sz w:val="28"/>
          <w:szCs w:val="28"/>
          <w14:textFill>
            <w14:solidFill>
              <w14:schemeClr w14:val="tx1"/>
            </w14:solidFill>
          </w14:textFill>
        </w:rPr>
      </w:pPr>
      <w:r>
        <w:rPr>
          <w:rFonts w:hint="eastAsia" w:ascii="黑体" w:hAnsi="黑体" w:eastAsia="黑体" w:cs="宋体"/>
          <w:b/>
          <w:bCs/>
          <w:color w:val="000000" w:themeColor="text1"/>
          <w:kern w:val="0"/>
          <w:sz w:val="28"/>
          <w:szCs w:val="28"/>
          <w14:textFill>
            <w14:solidFill>
              <w14:schemeClr w14:val="tx1"/>
            </w14:solidFill>
          </w14:textFill>
        </w:rPr>
        <w:t>※培养目标※</w:t>
      </w:r>
    </w:p>
    <w:p>
      <w:pPr>
        <w:keepNext w:val="0"/>
        <w:keepLines w:val="0"/>
        <w:pageBreakBefore w:val="0"/>
        <w:widowControl/>
        <w:kinsoku/>
        <w:wordWrap/>
        <w:overflowPunct/>
        <w:topLinePunct w:val="0"/>
        <w:autoSpaceDE/>
        <w:autoSpaceDN/>
        <w:bidi w:val="0"/>
        <w:adjustRightInd/>
        <w:snapToGrid/>
        <w:spacing w:line="440" w:lineRule="exact"/>
        <w:ind w:firstLine="480"/>
        <w:jc w:val="left"/>
        <w:textAlignment w:val="auto"/>
        <w:rPr>
          <w:rFonts w:hint="eastAsia"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培养具有社会责任感和事业心，具备宽广的人文社会科学知识和扎实全面的教育专业知识，具有一定的独立从事教育研究和教育教学改革实践的能力，具有较好的创新意识和学术素养，具备从事教育专业及相关专业的教学、研究、培训、管理和服务等工作基本能力的高级专门人才。</w:t>
      </w:r>
    </w:p>
    <w:p>
      <w:pPr>
        <w:keepNext w:val="0"/>
        <w:keepLines w:val="0"/>
        <w:pageBreakBefore w:val="0"/>
        <w:widowControl/>
        <w:kinsoku/>
        <w:wordWrap/>
        <w:overflowPunct/>
        <w:topLinePunct w:val="0"/>
        <w:autoSpaceDE/>
        <w:autoSpaceDN/>
        <w:bidi w:val="0"/>
        <w:adjustRightInd/>
        <w:snapToGrid/>
        <w:spacing w:line="440" w:lineRule="exact"/>
        <w:ind w:firstLine="480"/>
        <w:jc w:val="center"/>
        <w:textAlignment w:val="auto"/>
        <w:rPr>
          <w:rFonts w:ascii="黑体" w:hAnsi="黑体" w:eastAsia="黑体" w:cs="宋体"/>
          <w:b/>
          <w:bCs/>
          <w:color w:val="000000" w:themeColor="text1"/>
          <w:kern w:val="0"/>
          <w:sz w:val="28"/>
          <w:szCs w:val="28"/>
          <w14:textFill>
            <w14:solidFill>
              <w14:schemeClr w14:val="tx1"/>
            </w14:solidFill>
          </w14:textFill>
        </w:rPr>
      </w:pPr>
      <w:r>
        <w:rPr>
          <w:rFonts w:hint="eastAsia" w:ascii="黑体" w:hAnsi="黑体" w:eastAsia="黑体" w:cs="宋体"/>
          <w:b/>
          <w:bCs/>
          <w:color w:val="000000" w:themeColor="text1"/>
          <w:kern w:val="0"/>
          <w:sz w:val="28"/>
          <w:szCs w:val="28"/>
          <w14:textFill>
            <w14:solidFill>
              <w14:schemeClr w14:val="tx1"/>
            </w14:solidFill>
          </w14:textFill>
        </w:rPr>
        <w:t>※培养方式※</w:t>
      </w:r>
    </w:p>
    <w:p>
      <w:pPr>
        <w:keepNext w:val="0"/>
        <w:keepLines w:val="0"/>
        <w:pageBreakBefore w:val="0"/>
        <w:widowControl/>
        <w:kinsoku/>
        <w:wordWrap/>
        <w:overflowPunct/>
        <w:topLinePunct w:val="0"/>
        <w:autoSpaceDE/>
        <w:autoSpaceDN/>
        <w:bidi w:val="0"/>
        <w:adjustRightInd/>
        <w:snapToGrid/>
        <w:spacing w:line="440" w:lineRule="exact"/>
        <w:ind w:firstLine="480"/>
        <w:jc w:val="left"/>
        <w:textAlignment w:val="auto"/>
        <w:rPr>
          <w:rFonts w:hint="eastAsia"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课程学习形式为面授教学与网络教学相结合；面授教学的上课时间主要安排在周末、节假日和寒暑假。</w:t>
      </w:r>
    </w:p>
    <w:p>
      <w:pPr>
        <w:keepNext w:val="0"/>
        <w:keepLines w:val="0"/>
        <w:pageBreakBefore w:val="0"/>
        <w:widowControl/>
        <w:kinsoku/>
        <w:wordWrap/>
        <w:overflowPunct/>
        <w:topLinePunct w:val="0"/>
        <w:autoSpaceDE/>
        <w:autoSpaceDN/>
        <w:bidi w:val="0"/>
        <w:adjustRightInd/>
        <w:snapToGrid/>
        <w:spacing w:line="440" w:lineRule="exact"/>
        <w:ind w:firstLine="482"/>
        <w:jc w:val="center"/>
        <w:textAlignment w:val="auto"/>
        <w:rPr>
          <w:rFonts w:hint="eastAsia" w:ascii="黑体" w:hAnsi="黑体" w:eastAsia="黑体" w:cs="宋体"/>
          <w:b/>
          <w:bCs/>
          <w:color w:val="000000" w:themeColor="text1"/>
          <w:kern w:val="0"/>
          <w:sz w:val="28"/>
          <w:szCs w:val="28"/>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440" w:lineRule="exact"/>
        <w:ind w:firstLine="482"/>
        <w:jc w:val="center"/>
        <w:textAlignment w:val="auto"/>
        <w:rPr>
          <w:rFonts w:ascii="黑体" w:hAnsi="黑体" w:eastAsia="黑体" w:cs="宋体"/>
          <w:b/>
          <w:bCs/>
          <w:color w:val="000000" w:themeColor="text1"/>
          <w:kern w:val="0"/>
          <w:sz w:val="28"/>
          <w:szCs w:val="28"/>
          <w14:textFill>
            <w14:solidFill>
              <w14:schemeClr w14:val="tx1"/>
            </w14:solidFill>
          </w14:textFill>
        </w:rPr>
      </w:pPr>
      <w:r>
        <w:rPr>
          <w:rFonts w:hint="eastAsia" w:ascii="黑体" w:hAnsi="黑体" w:eastAsia="黑体" w:cs="宋体"/>
          <w:b/>
          <w:bCs/>
          <w:color w:val="000000" w:themeColor="text1"/>
          <w:kern w:val="0"/>
          <w:sz w:val="28"/>
          <w:szCs w:val="28"/>
          <w14:textFill>
            <w14:solidFill>
              <w14:schemeClr w14:val="tx1"/>
            </w14:solidFill>
          </w14:textFill>
        </w:rPr>
        <w:t>※培养方案※</w:t>
      </w:r>
    </w:p>
    <w:p>
      <w:pPr>
        <w:keepNext w:val="0"/>
        <w:keepLines w:val="0"/>
        <w:pageBreakBefore w:val="0"/>
        <w:widowControl/>
        <w:kinsoku/>
        <w:wordWrap/>
        <w:overflowPunct/>
        <w:topLinePunct w:val="0"/>
        <w:autoSpaceDE/>
        <w:autoSpaceDN/>
        <w:bidi w:val="0"/>
        <w:adjustRightInd/>
        <w:snapToGrid/>
        <w:spacing w:line="440" w:lineRule="exact"/>
        <w:ind w:firstLine="482"/>
        <w:jc w:val="left"/>
        <w:textAlignment w:val="auto"/>
        <w:rPr>
          <w:rFonts w:hint="eastAsia"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同等学力人</w:t>
      </w:r>
      <w:r>
        <w:rPr>
          <w:rFonts w:ascii="仿宋" w:hAnsi="仿宋" w:eastAsia="仿宋" w:cs="宋体"/>
          <w:color w:val="000000" w:themeColor="text1"/>
          <w:kern w:val="0"/>
          <w:sz w:val="28"/>
          <w:szCs w:val="28"/>
          <w14:textFill>
            <w14:solidFill>
              <w14:schemeClr w14:val="tx1"/>
            </w14:solidFill>
          </w14:textFill>
        </w:rPr>
        <w:t>员</w:t>
      </w:r>
      <w:r>
        <w:rPr>
          <w:rFonts w:hint="eastAsia" w:ascii="仿宋" w:hAnsi="仿宋" w:eastAsia="仿宋" w:cs="宋体"/>
          <w:color w:val="000000" w:themeColor="text1"/>
          <w:kern w:val="0"/>
          <w:sz w:val="28"/>
          <w:szCs w:val="28"/>
          <w14:textFill>
            <w14:solidFill>
              <w14:schemeClr w14:val="tx1"/>
            </w14:solidFill>
          </w14:textFill>
        </w:rPr>
        <w:t>申请硕士学位按相应学科（专业）的学术学位硕士研究生培养方案执行。</w:t>
      </w:r>
    </w:p>
    <w:p>
      <w:pPr>
        <w:keepNext w:val="0"/>
        <w:keepLines w:val="0"/>
        <w:pageBreakBefore w:val="0"/>
        <w:widowControl/>
        <w:kinsoku/>
        <w:wordWrap/>
        <w:overflowPunct/>
        <w:topLinePunct w:val="0"/>
        <w:autoSpaceDE/>
        <w:autoSpaceDN/>
        <w:bidi w:val="0"/>
        <w:adjustRightInd/>
        <w:snapToGrid/>
        <w:spacing w:line="440" w:lineRule="exact"/>
        <w:ind w:firstLine="482"/>
        <w:jc w:val="left"/>
        <w:textAlignment w:val="auto"/>
        <w:rPr>
          <w:rFonts w:hint="eastAsia" w:ascii="仿宋" w:hAnsi="仿宋" w:eastAsia="仿宋" w:cs="宋体"/>
          <w:color w:val="000000" w:themeColor="text1"/>
          <w:kern w:val="0"/>
          <w:sz w:val="28"/>
          <w:szCs w:val="28"/>
          <w14:textFill>
            <w14:solidFill>
              <w14:schemeClr w14:val="tx1"/>
            </w14:solidFill>
          </w14:textFill>
        </w:rPr>
      </w:pPr>
    </w:p>
    <w:tbl>
      <w:tblPr>
        <w:tblStyle w:val="7"/>
        <w:tblW w:w="962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1"/>
        <w:gridCol w:w="1228"/>
        <w:gridCol w:w="2689"/>
        <w:gridCol w:w="736"/>
        <w:gridCol w:w="831"/>
        <w:gridCol w:w="850"/>
        <w:gridCol w:w="1130"/>
        <w:gridCol w:w="10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9620" w:type="dxa"/>
            <w:gridSpan w:val="8"/>
            <w:tcBorders>
              <w:top w:val="nil"/>
              <w:left w:val="nil"/>
              <w:bottom w:val="nil"/>
              <w:right w:val="nil"/>
            </w:tcBorders>
            <w:shd w:val="clear" w:color="auto" w:fill="3BA5D3"/>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ascii="微软雅黑" w:hAnsi="微软雅黑" w:eastAsia="微软雅黑" w:cs="微软雅黑"/>
                <w:b/>
                <w:bCs/>
                <w:i w:val="0"/>
                <w:iCs w:val="0"/>
                <w:color w:val="000000" w:themeColor="text1"/>
                <w:sz w:val="24"/>
                <w:szCs w:val="24"/>
                <w:u w:val="none"/>
                <w14:textFill>
                  <w14:solidFill>
                    <w14:schemeClr w14:val="tx1"/>
                  </w14:solidFill>
                </w14:textFill>
              </w:rPr>
            </w:pPr>
            <w:r>
              <w:rPr>
                <w:rFonts w:hint="eastAsia" w:ascii="宋体" w:hAnsi="宋体" w:eastAsia="宋体" w:cs="宋体"/>
                <w:b/>
                <w:bCs/>
                <w:i w:val="0"/>
                <w:iCs w:val="0"/>
                <w:color w:val="000000" w:themeColor="text1"/>
                <w:kern w:val="0"/>
                <w:sz w:val="24"/>
                <w:szCs w:val="24"/>
                <w:u w:val="none"/>
                <w:lang w:val="en-US" w:eastAsia="zh-CN" w:bidi="ar"/>
                <w14:textFill>
                  <w14:solidFill>
                    <w14:schemeClr w14:val="tx1"/>
                  </w14:solidFill>
                </w14:textFill>
              </w:rPr>
              <w:t>同等学力教育学专业培养计划（</w:t>
            </w:r>
            <w:r>
              <w:rPr>
                <w:rStyle w:val="19"/>
                <w:rFonts w:hint="eastAsia" w:ascii="宋体" w:hAnsi="宋体" w:eastAsia="宋体" w:cs="宋体"/>
                <w:color w:val="000000" w:themeColor="text1"/>
                <w:lang w:val="en-US" w:eastAsia="zh-CN" w:bidi="ar"/>
                <w14:textFill>
                  <w14:solidFill>
                    <w14:schemeClr w14:val="tx1"/>
                  </w14:solidFill>
                </w14:textFill>
              </w:rPr>
              <w:t>2023</w:t>
            </w:r>
            <w:r>
              <w:rPr>
                <w:rStyle w:val="20"/>
                <w:rFonts w:hint="eastAsia" w:ascii="宋体" w:hAnsi="宋体" w:eastAsia="宋体" w:cs="宋体"/>
                <w:color w:val="000000" w:themeColor="text1"/>
                <w:lang w:val="en-US" w:eastAsia="zh-CN" w:bidi="ar"/>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081" w:type="dxa"/>
            <w:tcBorders>
              <w:top w:val="single" w:color="000000" w:sz="4" w:space="0"/>
              <w:left w:val="single" w:color="000000" w:sz="4" w:space="0"/>
              <w:bottom w:val="single" w:color="000000" w:sz="4" w:space="0"/>
              <w:right w:val="single" w:color="000000" w:sz="4" w:space="0"/>
            </w:tcBorders>
            <w:shd w:val="clear" w:color="auto" w:fill="3BA5D3"/>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华文宋体" w:hAnsi="华文宋体" w:eastAsia="华文宋体" w:cs="华文宋体"/>
                <w:i w:val="0"/>
                <w:iCs w:val="0"/>
                <w:color w:val="000000" w:themeColor="text1"/>
                <w:sz w:val="16"/>
                <w:szCs w:val="16"/>
                <w:u w:val="none"/>
                <w14:textFill>
                  <w14:solidFill>
                    <w14:schemeClr w14:val="tx1"/>
                  </w14:solidFill>
                </w14:textFill>
              </w:rPr>
            </w:pPr>
            <w:r>
              <w:rPr>
                <w:rFonts w:hint="eastAsia" w:ascii="华文宋体" w:hAnsi="华文宋体" w:eastAsia="华文宋体" w:cs="华文宋体"/>
                <w:i w:val="0"/>
                <w:iCs w:val="0"/>
                <w:color w:val="000000" w:themeColor="text1"/>
                <w:kern w:val="0"/>
                <w:sz w:val="16"/>
                <w:szCs w:val="16"/>
                <w:u w:val="none"/>
                <w:lang w:val="en-US" w:eastAsia="zh-CN" w:bidi="ar"/>
                <w14:textFill>
                  <w14:solidFill>
                    <w14:schemeClr w14:val="tx1"/>
                  </w14:solidFill>
                </w14:textFill>
              </w:rPr>
              <w:t>课程类别</w:t>
            </w:r>
          </w:p>
        </w:tc>
        <w:tc>
          <w:tcPr>
            <w:tcW w:w="1228" w:type="dxa"/>
            <w:tcBorders>
              <w:top w:val="single" w:color="000000" w:sz="4" w:space="0"/>
              <w:left w:val="single" w:color="000000" w:sz="4" w:space="0"/>
              <w:bottom w:val="single" w:color="000000" w:sz="4" w:space="0"/>
              <w:right w:val="single" w:color="000000" w:sz="4" w:space="0"/>
            </w:tcBorders>
            <w:shd w:val="clear" w:color="auto" w:fill="3BA5D3"/>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华文宋体" w:hAnsi="华文宋体" w:eastAsia="华文宋体" w:cs="华文宋体"/>
                <w:i w:val="0"/>
                <w:iCs w:val="0"/>
                <w:color w:val="000000" w:themeColor="text1"/>
                <w:sz w:val="16"/>
                <w:szCs w:val="16"/>
                <w:u w:val="none"/>
                <w14:textFill>
                  <w14:solidFill>
                    <w14:schemeClr w14:val="tx1"/>
                  </w14:solidFill>
                </w14:textFill>
              </w:rPr>
            </w:pPr>
            <w:r>
              <w:rPr>
                <w:rFonts w:hint="eastAsia" w:ascii="华文宋体" w:hAnsi="华文宋体" w:eastAsia="华文宋体" w:cs="华文宋体"/>
                <w:i w:val="0"/>
                <w:iCs w:val="0"/>
                <w:color w:val="000000" w:themeColor="text1"/>
                <w:kern w:val="0"/>
                <w:sz w:val="16"/>
                <w:szCs w:val="16"/>
                <w:u w:val="none"/>
                <w:lang w:val="en-US" w:eastAsia="zh-CN" w:bidi="ar"/>
                <w14:textFill>
                  <w14:solidFill>
                    <w14:schemeClr w14:val="tx1"/>
                  </w14:solidFill>
                </w14:textFill>
              </w:rPr>
              <w:t>课程代码</w:t>
            </w:r>
          </w:p>
        </w:tc>
        <w:tc>
          <w:tcPr>
            <w:tcW w:w="2689" w:type="dxa"/>
            <w:tcBorders>
              <w:top w:val="single" w:color="000000" w:sz="4" w:space="0"/>
              <w:left w:val="single" w:color="000000" w:sz="4" w:space="0"/>
              <w:bottom w:val="single" w:color="000000" w:sz="4" w:space="0"/>
              <w:right w:val="single" w:color="000000" w:sz="4" w:space="0"/>
            </w:tcBorders>
            <w:shd w:val="clear" w:color="auto" w:fill="3BA5D3"/>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华文宋体" w:hAnsi="华文宋体" w:eastAsia="华文宋体" w:cs="华文宋体"/>
                <w:i w:val="0"/>
                <w:iCs w:val="0"/>
                <w:color w:val="000000" w:themeColor="text1"/>
                <w:sz w:val="16"/>
                <w:szCs w:val="16"/>
                <w:u w:val="none"/>
                <w14:textFill>
                  <w14:solidFill>
                    <w14:schemeClr w14:val="tx1"/>
                  </w14:solidFill>
                </w14:textFill>
              </w:rPr>
            </w:pPr>
            <w:r>
              <w:rPr>
                <w:rFonts w:hint="eastAsia" w:ascii="华文宋体" w:hAnsi="华文宋体" w:eastAsia="华文宋体" w:cs="华文宋体"/>
                <w:i w:val="0"/>
                <w:iCs w:val="0"/>
                <w:color w:val="000000" w:themeColor="text1"/>
                <w:kern w:val="0"/>
                <w:sz w:val="16"/>
                <w:szCs w:val="16"/>
                <w:u w:val="none"/>
                <w:lang w:val="en-US" w:eastAsia="zh-CN" w:bidi="ar"/>
                <w14:textFill>
                  <w14:solidFill>
                    <w14:schemeClr w14:val="tx1"/>
                  </w14:solidFill>
                </w14:textFill>
              </w:rPr>
              <w:t>课程名称</w:t>
            </w:r>
          </w:p>
        </w:tc>
        <w:tc>
          <w:tcPr>
            <w:tcW w:w="736" w:type="dxa"/>
            <w:tcBorders>
              <w:top w:val="single" w:color="000000" w:sz="4" w:space="0"/>
              <w:left w:val="single" w:color="000000" w:sz="4" w:space="0"/>
              <w:bottom w:val="single" w:color="000000" w:sz="4" w:space="0"/>
              <w:right w:val="single" w:color="000000" w:sz="4" w:space="0"/>
            </w:tcBorders>
            <w:shd w:val="clear" w:color="auto" w:fill="3BA5D3"/>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华文宋体" w:hAnsi="华文宋体" w:eastAsia="华文宋体" w:cs="华文宋体"/>
                <w:i w:val="0"/>
                <w:iCs w:val="0"/>
                <w:color w:val="000000" w:themeColor="text1"/>
                <w:sz w:val="16"/>
                <w:szCs w:val="16"/>
                <w:u w:val="none"/>
                <w14:textFill>
                  <w14:solidFill>
                    <w14:schemeClr w14:val="tx1"/>
                  </w14:solidFill>
                </w14:textFill>
              </w:rPr>
            </w:pPr>
            <w:r>
              <w:rPr>
                <w:rFonts w:hint="eastAsia" w:ascii="华文宋体" w:hAnsi="华文宋体" w:eastAsia="华文宋体" w:cs="华文宋体"/>
                <w:i w:val="0"/>
                <w:iCs w:val="0"/>
                <w:color w:val="000000" w:themeColor="text1"/>
                <w:kern w:val="0"/>
                <w:sz w:val="16"/>
                <w:szCs w:val="16"/>
                <w:u w:val="none"/>
                <w:lang w:val="en-US" w:eastAsia="zh-CN" w:bidi="ar"/>
                <w14:textFill>
                  <w14:solidFill>
                    <w14:schemeClr w14:val="tx1"/>
                  </w14:solidFill>
                </w14:textFill>
              </w:rPr>
              <w:t>学分</w:t>
            </w:r>
          </w:p>
        </w:tc>
        <w:tc>
          <w:tcPr>
            <w:tcW w:w="831" w:type="dxa"/>
            <w:tcBorders>
              <w:top w:val="single" w:color="000000" w:sz="4" w:space="0"/>
              <w:left w:val="single" w:color="000000" w:sz="4" w:space="0"/>
              <w:bottom w:val="single" w:color="000000" w:sz="4" w:space="0"/>
              <w:right w:val="single" w:color="000000" w:sz="4" w:space="0"/>
            </w:tcBorders>
            <w:shd w:val="clear" w:color="auto" w:fill="3BA5D3"/>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华文宋体" w:hAnsi="华文宋体" w:eastAsia="华文宋体" w:cs="华文宋体"/>
                <w:i w:val="0"/>
                <w:iCs w:val="0"/>
                <w:color w:val="000000" w:themeColor="text1"/>
                <w:sz w:val="16"/>
                <w:szCs w:val="16"/>
                <w:u w:val="none"/>
                <w14:textFill>
                  <w14:solidFill>
                    <w14:schemeClr w14:val="tx1"/>
                  </w14:solidFill>
                </w14:textFill>
              </w:rPr>
            </w:pPr>
            <w:r>
              <w:rPr>
                <w:rFonts w:hint="eastAsia" w:ascii="华文宋体" w:hAnsi="华文宋体" w:eastAsia="华文宋体" w:cs="华文宋体"/>
                <w:i w:val="0"/>
                <w:iCs w:val="0"/>
                <w:color w:val="000000" w:themeColor="text1"/>
                <w:kern w:val="0"/>
                <w:sz w:val="16"/>
                <w:szCs w:val="16"/>
                <w:u w:val="none"/>
                <w:lang w:val="en-US" w:eastAsia="zh-CN" w:bidi="ar"/>
                <w14:textFill>
                  <w14:solidFill>
                    <w14:schemeClr w14:val="tx1"/>
                  </w14:solidFill>
                </w14:textFill>
              </w:rPr>
              <w:t>应修学分</w:t>
            </w:r>
          </w:p>
        </w:tc>
        <w:tc>
          <w:tcPr>
            <w:tcW w:w="850" w:type="dxa"/>
            <w:tcBorders>
              <w:top w:val="single" w:color="000000" w:sz="4" w:space="0"/>
              <w:left w:val="single" w:color="000000" w:sz="4" w:space="0"/>
              <w:bottom w:val="single" w:color="000000" w:sz="4" w:space="0"/>
              <w:right w:val="single" w:color="000000" w:sz="4" w:space="0"/>
            </w:tcBorders>
            <w:shd w:val="clear" w:color="auto" w:fill="3BA5D3"/>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华文宋体" w:hAnsi="华文宋体" w:eastAsia="华文宋体" w:cs="华文宋体"/>
                <w:i w:val="0"/>
                <w:iCs w:val="0"/>
                <w:color w:val="000000" w:themeColor="text1"/>
                <w:sz w:val="16"/>
                <w:szCs w:val="16"/>
                <w:u w:val="none"/>
                <w14:textFill>
                  <w14:solidFill>
                    <w14:schemeClr w14:val="tx1"/>
                  </w14:solidFill>
                </w14:textFill>
              </w:rPr>
            </w:pPr>
            <w:r>
              <w:rPr>
                <w:rFonts w:hint="eastAsia" w:ascii="华文宋体" w:hAnsi="华文宋体" w:eastAsia="华文宋体" w:cs="华文宋体"/>
                <w:i w:val="0"/>
                <w:iCs w:val="0"/>
                <w:color w:val="000000" w:themeColor="text1"/>
                <w:kern w:val="0"/>
                <w:sz w:val="16"/>
                <w:szCs w:val="16"/>
                <w:u w:val="none"/>
                <w:lang w:val="en-US" w:eastAsia="zh-CN" w:bidi="ar"/>
                <w14:textFill>
                  <w14:solidFill>
                    <w14:schemeClr w14:val="tx1"/>
                  </w14:solidFill>
                </w14:textFill>
              </w:rPr>
              <w:t>备注</w:t>
            </w:r>
          </w:p>
        </w:tc>
        <w:tc>
          <w:tcPr>
            <w:tcW w:w="1130" w:type="dxa"/>
            <w:tcBorders>
              <w:top w:val="single" w:color="000000" w:sz="4" w:space="0"/>
              <w:left w:val="single" w:color="000000" w:sz="4" w:space="0"/>
              <w:bottom w:val="single" w:color="000000" w:sz="4" w:space="0"/>
              <w:right w:val="single" w:color="000000" w:sz="4" w:space="0"/>
            </w:tcBorders>
            <w:shd w:val="clear" w:color="auto" w:fill="3BA5D3"/>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华文宋体" w:hAnsi="华文宋体" w:eastAsia="华文宋体" w:cs="华文宋体"/>
                <w:i w:val="0"/>
                <w:iCs w:val="0"/>
                <w:color w:val="000000" w:themeColor="text1"/>
                <w:sz w:val="16"/>
                <w:szCs w:val="16"/>
                <w:u w:val="none"/>
                <w14:textFill>
                  <w14:solidFill>
                    <w14:schemeClr w14:val="tx1"/>
                  </w14:solidFill>
                </w14:textFill>
              </w:rPr>
            </w:pPr>
            <w:r>
              <w:rPr>
                <w:rFonts w:hint="eastAsia" w:ascii="华文宋体" w:hAnsi="华文宋体" w:eastAsia="华文宋体" w:cs="华文宋体"/>
                <w:i w:val="0"/>
                <w:iCs w:val="0"/>
                <w:color w:val="000000" w:themeColor="text1"/>
                <w:kern w:val="0"/>
                <w:sz w:val="16"/>
                <w:szCs w:val="16"/>
                <w:u w:val="none"/>
                <w:lang w:val="en-US" w:eastAsia="zh-CN" w:bidi="ar"/>
                <w14:textFill>
                  <w14:solidFill>
                    <w14:schemeClr w14:val="tx1"/>
                  </w14:solidFill>
                </w14:textFill>
              </w:rPr>
              <w:t>授课时间</w:t>
            </w:r>
          </w:p>
        </w:tc>
        <w:tc>
          <w:tcPr>
            <w:tcW w:w="1075" w:type="dxa"/>
            <w:tcBorders>
              <w:top w:val="single" w:color="000000" w:sz="4" w:space="0"/>
              <w:left w:val="single" w:color="000000" w:sz="4" w:space="0"/>
              <w:bottom w:val="single" w:color="000000" w:sz="4" w:space="0"/>
              <w:right w:val="single" w:color="000000" w:sz="4" w:space="0"/>
            </w:tcBorders>
            <w:shd w:val="clear" w:color="auto" w:fill="3BA5D3"/>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华文宋体" w:hAnsi="华文宋体" w:eastAsia="华文宋体" w:cs="华文宋体"/>
                <w:i w:val="0"/>
                <w:iCs w:val="0"/>
                <w:color w:val="000000" w:themeColor="text1"/>
                <w:sz w:val="16"/>
                <w:szCs w:val="16"/>
                <w:u w:val="none"/>
                <w14:textFill>
                  <w14:solidFill>
                    <w14:schemeClr w14:val="tx1"/>
                  </w14:solidFill>
                </w14:textFill>
              </w:rPr>
            </w:pPr>
            <w:r>
              <w:rPr>
                <w:rFonts w:hint="eastAsia" w:ascii="华文宋体" w:hAnsi="华文宋体" w:eastAsia="华文宋体" w:cs="华文宋体"/>
                <w:i w:val="0"/>
                <w:iCs w:val="0"/>
                <w:color w:val="000000" w:themeColor="text1"/>
                <w:kern w:val="0"/>
                <w:sz w:val="16"/>
                <w:szCs w:val="16"/>
                <w:u w:val="none"/>
                <w:lang w:val="en-US" w:eastAsia="zh-CN" w:bidi="ar"/>
                <w14:textFill>
                  <w14:solidFill>
                    <w14:schemeClr w14:val="tx1"/>
                  </w14:solidFill>
                </w14:textFill>
              </w:rPr>
              <w:t>研究方向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3" w:hRule="atLeast"/>
        </w:trPr>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公共课</w:t>
            </w: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学位课</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G19000001</w:t>
            </w:r>
          </w:p>
        </w:tc>
        <w:tc>
          <w:tcPr>
            <w:tcW w:w="26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中国特色社会主义理论与实践研究</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周六、周日</w:t>
            </w:r>
          </w:p>
        </w:tc>
        <w:tc>
          <w:tcPr>
            <w:tcW w:w="10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所有方向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G19000003</w:t>
            </w:r>
          </w:p>
        </w:tc>
        <w:tc>
          <w:tcPr>
            <w:tcW w:w="26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自然辩证法概论</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1</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周六、周日</w:t>
            </w: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G19000004</w:t>
            </w:r>
          </w:p>
        </w:tc>
        <w:tc>
          <w:tcPr>
            <w:tcW w:w="26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综合英语</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top"/>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周六、周日</w:t>
            </w: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G19000005</w:t>
            </w:r>
          </w:p>
        </w:tc>
        <w:tc>
          <w:tcPr>
            <w:tcW w:w="26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学术英语写作</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1</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周六、周日</w:t>
            </w: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restart"/>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基础理论课</w:t>
            </w: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学位课</w:t>
            </w: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X19140101</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教育原理</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3</w:t>
            </w: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9</w:t>
            </w: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restart"/>
            <w:tcBorders>
              <w:top w:val="single" w:color="000000" w:sz="4" w:space="0"/>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周末、节假日或寒暑假</w:t>
            </w:r>
          </w:p>
        </w:tc>
        <w:tc>
          <w:tcPr>
            <w:tcW w:w="1075" w:type="dxa"/>
            <w:vMerge w:val="restart"/>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所有方向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X19140102</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教育研究方法</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X19140103</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教育心理学</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top"/>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top"/>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X19140104</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课程与教学论</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restart"/>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专业主干课</w:t>
            </w: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学位课</w:t>
            </w: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X19140105</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教育名著选读</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6</w:t>
            </w: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restart"/>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所有方向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X19140106</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教育学学科前沿讲座</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top"/>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top"/>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3"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X19140107</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信息技术与学科课程融合专题</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非学位课</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X19141000</w:t>
            </w:r>
          </w:p>
        </w:tc>
        <w:tc>
          <w:tcPr>
            <w:tcW w:w="26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教育学学术论文写作</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*必修*</w:t>
            </w:r>
          </w:p>
        </w:tc>
        <w:tc>
          <w:tcPr>
            <w:tcW w:w="1130"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所有方向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restart"/>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非学位课</w:t>
            </w: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X19141102</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教育思潮与流派专题</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8</w:t>
            </w: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restart"/>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pPr>
          </w:p>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教育学原理方向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X19141103</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教育改革与发展专题</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X19141104</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德育专题</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X19141107</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教育社会学专题</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restart"/>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非学位课</w:t>
            </w: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X19011208</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教育思潮与流派专题</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8</w:t>
            </w: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restart"/>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课程与教学论方向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X19011209</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课程设计与教材开发专题</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X19011210</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基础教育课程改革专题</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X19011211</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教学诊断专题</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restart"/>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非学位课</w:t>
            </w: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X19141301</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高等教育学专题</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8</w:t>
            </w: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restart"/>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高等教育学方向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X19141303</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高等教育管理学专题</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X19141304</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高等教育改革与发展专题</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X19141305</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高等教育社会学专题</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restart"/>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非学位课</w:t>
            </w: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X19141403</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教学设计理论及应用专题</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8</w:t>
            </w: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restart"/>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教育技术学方向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X19141404</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数字教育资源建设专题</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X19141405</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现代远程教育研究专题</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228"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X19141406</w:t>
            </w:r>
          </w:p>
        </w:tc>
        <w:tc>
          <w:tcPr>
            <w:tcW w:w="2689"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人工智能及教育应用专题</w:t>
            </w:r>
          </w:p>
        </w:tc>
        <w:tc>
          <w:tcPr>
            <w:tcW w:w="736"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2</w:t>
            </w: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vMerge w:val="continue"/>
            <w:tcBorders>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kinsoku/>
              <w:wordWrap/>
              <w:overflowPunct/>
              <w:topLinePunct w:val="0"/>
              <w:autoSpaceDE/>
              <w:autoSpaceDN/>
              <w:bidi w:val="0"/>
              <w:adjustRightInd/>
              <w:snapToGrid/>
              <w:spacing w:line="200" w:lineRule="exact"/>
              <w:jc w:val="center"/>
              <w:rPr>
                <w:rFonts w:hint="eastAsia" w:ascii="仿宋" w:hAnsi="仿宋" w:eastAsia="仿宋" w:cs="仿宋"/>
                <w:i w:val="0"/>
                <w:iCs w:val="0"/>
                <w:color w:val="000000" w:themeColor="text1"/>
                <w:sz w:val="16"/>
                <w:szCs w:val="16"/>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3" w:hRule="atLeast"/>
        </w:trPr>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实践环节</w:t>
            </w:r>
          </w:p>
        </w:tc>
        <w:tc>
          <w:tcPr>
            <w:tcW w:w="12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G19000024</w:t>
            </w:r>
          </w:p>
        </w:tc>
        <w:tc>
          <w:tcPr>
            <w:tcW w:w="26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实践活动</w:t>
            </w:r>
          </w:p>
        </w:tc>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第</w:t>
            </w:r>
            <w:r>
              <w:rPr>
                <w:rStyle w:val="22"/>
                <w:rFonts w:hint="eastAsia" w:ascii="仿宋" w:hAnsi="仿宋" w:eastAsia="仿宋" w:cs="仿宋"/>
                <w:color w:val="000000" w:themeColor="text1"/>
                <w:lang w:val="en-US" w:eastAsia="zh-CN" w:bidi="ar"/>
                <w14:textFill>
                  <w14:solidFill>
                    <w14:schemeClr w14:val="tx1"/>
                  </w14:solidFill>
                </w14:textFill>
              </w:rPr>
              <w:t>5</w:t>
            </w:r>
            <w:r>
              <w:rPr>
                <w:rStyle w:val="21"/>
                <w:rFonts w:hint="eastAsia" w:ascii="仿宋" w:hAnsi="仿宋" w:eastAsia="仿宋" w:cs="仿宋"/>
                <w:color w:val="000000" w:themeColor="text1"/>
                <w:lang w:val="en-US" w:eastAsia="zh-CN" w:bidi="ar"/>
                <w14:textFill>
                  <w14:solidFill>
                    <w14:schemeClr w14:val="tx1"/>
                  </w14:solidFill>
                </w14:textFill>
              </w:rPr>
              <w:t>学期进行</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w:t>
            </w:r>
            <w:r>
              <w:rPr>
                <w:rStyle w:val="21"/>
                <w:rFonts w:hint="eastAsia" w:ascii="仿宋" w:hAnsi="仿宋" w:eastAsia="仿宋" w:cs="仿宋"/>
                <w:color w:val="000000" w:themeColor="text1"/>
                <w:lang w:val="en-US" w:eastAsia="zh-CN" w:bidi="ar"/>
                <w14:textFill>
                  <w14:solidFill>
                    <w14:schemeClr w14:val="tx1"/>
                  </w14:solidFill>
                </w14:textFill>
              </w:rPr>
              <w:t>必修</w:t>
            </w:r>
            <w:r>
              <w:rPr>
                <w:rStyle w:val="22"/>
                <w:rFonts w:hint="eastAsia" w:ascii="仿宋" w:hAnsi="仿宋" w:eastAsia="仿宋" w:cs="仿宋"/>
                <w:color w:val="000000" w:themeColor="text1"/>
                <w:lang w:val="en-US" w:eastAsia="zh-CN" w:bidi="ar"/>
                <w14:textFill>
                  <w14:solidFill>
                    <w14:schemeClr w14:val="tx1"/>
                  </w14:solidFill>
                </w14:textFill>
              </w:rPr>
              <w:t>*</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所有方向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 w:hRule="atLeast"/>
        </w:trPr>
        <w:tc>
          <w:tcPr>
            <w:tcW w:w="1081"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学术活动</w:t>
            </w:r>
          </w:p>
        </w:tc>
        <w:tc>
          <w:tcPr>
            <w:tcW w:w="4653" w:type="dxa"/>
            <w:gridSpan w:val="3"/>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学术活动的主要形式包括听学术报告、专家讲座，参加学术会议、参加学校或省级研究生论坛报告会、研讨等</w:t>
            </w:r>
          </w:p>
        </w:tc>
        <w:tc>
          <w:tcPr>
            <w:tcW w:w="2811" w:type="dxa"/>
            <w:gridSpan w:val="3"/>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须参加学术活动</w:t>
            </w:r>
            <w:r>
              <w:rPr>
                <w:rStyle w:val="22"/>
                <w:rFonts w:hint="eastAsia" w:ascii="仿宋" w:hAnsi="仿宋" w:eastAsia="仿宋" w:cs="仿宋"/>
                <w:color w:val="000000" w:themeColor="text1"/>
                <w:lang w:val="en-US" w:eastAsia="zh-CN" w:bidi="ar"/>
                <w14:textFill>
                  <w14:solidFill>
                    <w14:schemeClr w14:val="tx1"/>
                  </w14:solidFill>
                </w14:textFill>
              </w:rPr>
              <w:t>10</w:t>
            </w:r>
            <w:r>
              <w:rPr>
                <w:rStyle w:val="21"/>
                <w:rFonts w:hint="eastAsia" w:ascii="仿宋" w:hAnsi="仿宋" w:eastAsia="仿宋" w:cs="仿宋"/>
                <w:color w:val="000000" w:themeColor="text1"/>
                <w:lang w:val="en-US" w:eastAsia="zh-CN" w:bidi="ar"/>
                <w14:textFill>
                  <w14:solidFill>
                    <w14:schemeClr w14:val="tx1"/>
                  </w14:solidFill>
                </w14:textFill>
              </w:rPr>
              <w:t>次以上，其中本人主讲报告至少一次</w:t>
            </w:r>
          </w:p>
        </w:tc>
        <w:tc>
          <w:tcPr>
            <w:tcW w:w="1075" w:type="dxa"/>
            <w:tcBorders>
              <w:top w:val="single" w:color="000000" w:sz="4" w:space="0"/>
              <w:left w:val="single" w:color="000000" w:sz="4" w:space="0"/>
              <w:bottom w:val="single" w:color="000000" w:sz="4" w:space="0"/>
              <w:right w:val="single" w:color="000000" w:sz="4" w:space="0"/>
            </w:tcBorders>
            <w:shd w:val="clear" w:color="auto" w:fill="DCEDF5"/>
            <w:vAlign w:val="center"/>
          </w:tcPr>
          <w:p>
            <w:pPr>
              <w:keepNext w:val="0"/>
              <w:keepLines w:val="0"/>
              <w:pageBreakBefore w:val="0"/>
              <w:widowControl/>
              <w:suppressLineNumbers w:val="0"/>
              <w:kinsoku/>
              <w:wordWrap/>
              <w:overflowPunct/>
              <w:topLinePunct w:val="0"/>
              <w:autoSpaceDE/>
              <w:autoSpaceDN/>
              <w:bidi w:val="0"/>
              <w:adjustRightInd/>
              <w:snapToGrid/>
              <w:spacing w:line="200" w:lineRule="exact"/>
              <w:jc w:val="center"/>
              <w:textAlignment w:val="center"/>
              <w:rPr>
                <w:rFonts w:hint="eastAsia" w:ascii="仿宋" w:hAnsi="仿宋" w:eastAsia="仿宋" w:cs="仿宋"/>
                <w:i w:val="0"/>
                <w:iCs w:val="0"/>
                <w:color w:val="000000" w:themeColor="text1"/>
                <w:sz w:val="16"/>
                <w:szCs w:val="16"/>
                <w:u w:val="none"/>
                <w14:textFill>
                  <w14:solidFill>
                    <w14:schemeClr w14:val="tx1"/>
                  </w14:solidFill>
                </w14:textFill>
              </w:rPr>
            </w:pPr>
            <w:r>
              <w:rPr>
                <w:rFonts w:hint="eastAsia" w:ascii="仿宋" w:hAnsi="仿宋" w:eastAsia="仿宋" w:cs="仿宋"/>
                <w:i w:val="0"/>
                <w:iCs w:val="0"/>
                <w:color w:val="000000" w:themeColor="text1"/>
                <w:kern w:val="0"/>
                <w:sz w:val="16"/>
                <w:szCs w:val="16"/>
                <w:u w:val="none"/>
                <w:lang w:val="en-US" w:eastAsia="zh-CN" w:bidi="ar"/>
                <w14:textFill>
                  <w14:solidFill>
                    <w14:schemeClr w14:val="tx1"/>
                  </w14:solidFill>
                </w14:textFill>
              </w:rPr>
              <w:t>所有方向</w:t>
            </w:r>
          </w:p>
        </w:tc>
      </w:tr>
    </w:tbl>
    <w:p>
      <w:pPr>
        <w:keepNext w:val="0"/>
        <w:keepLines w:val="0"/>
        <w:pageBreakBefore w:val="0"/>
        <w:widowControl/>
        <w:kinsoku/>
        <w:wordWrap/>
        <w:overflowPunct/>
        <w:topLinePunct w:val="0"/>
        <w:autoSpaceDE/>
        <w:autoSpaceDN/>
        <w:bidi w:val="0"/>
        <w:adjustRightInd/>
        <w:snapToGrid/>
        <w:spacing w:line="200" w:lineRule="exact"/>
        <w:ind w:firstLine="480"/>
        <w:jc w:val="left"/>
        <w:rPr>
          <w:rFonts w:hint="eastAsia" w:ascii="仿宋" w:hAnsi="仿宋" w:eastAsia="仿宋" w:cs="宋体"/>
          <w:color w:val="000000" w:themeColor="text1"/>
          <w:kern w:val="0"/>
          <w:sz w:val="28"/>
          <w:szCs w:val="28"/>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420" w:lineRule="exact"/>
        <w:ind w:firstLine="480"/>
        <w:jc w:val="center"/>
        <w:textAlignment w:val="auto"/>
        <w:rPr>
          <w:rFonts w:ascii="黑体" w:hAnsi="黑体" w:eastAsia="黑体" w:cs="宋体"/>
          <w:b/>
          <w:bCs/>
          <w:color w:val="000000" w:themeColor="text1"/>
          <w:kern w:val="0"/>
          <w:sz w:val="28"/>
          <w:szCs w:val="28"/>
          <w14:textFill>
            <w14:solidFill>
              <w14:schemeClr w14:val="tx1"/>
            </w14:solidFill>
          </w14:textFill>
        </w:rPr>
      </w:pPr>
      <w:r>
        <w:rPr>
          <w:rFonts w:hint="eastAsia" w:ascii="黑体" w:hAnsi="黑体" w:eastAsia="黑体" w:cs="宋体"/>
          <w:b/>
          <w:bCs/>
          <w:color w:val="000000" w:themeColor="text1"/>
          <w:kern w:val="0"/>
          <w:sz w:val="28"/>
          <w:szCs w:val="28"/>
          <w14:textFill>
            <w14:solidFill>
              <w14:schemeClr w14:val="tx1"/>
            </w14:solidFill>
          </w14:textFill>
        </w:rPr>
        <w:t>※申请条件※</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一、</w:t>
      </w:r>
      <w:r>
        <w:rPr>
          <w:rFonts w:hint="eastAsia" w:ascii="仿宋" w:hAnsi="仿宋" w:eastAsia="仿宋" w:cs="宋体"/>
          <w:color w:val="000000" w:themeColor="text1"/>
          <w:kern w:val="0"/>
          <w:sz w:val="28"/>
          <w:szCs w:val="28"/>
          <w:lang w:val="en-US" w:eastAsia="zh-CN"/>
          <w14:textFill>
            <w14:solidFill>
              <w14:schemeClr w14:val="tx1"/>
            </w14:solidFill>
          </w14:textFill>
        </w:rPr>
        <w:t>拥护《中华人民共和国宪法》，</w:t>
      </w:r>
      <w:r>
        <w:rPr>
          <w:rFonts w:hint="eastAsia" w:ascii="仿宋" w:hAnsi="仿宋" w:eastAsia="仿宋" w:cs="宋体"/>
          <w:color w:val="000000" w:themeColor="text1"/>
          <w:kern w:val="0"/>
          <w:sz w:val="28"/>
          <w:szCs w:val="28"/>
          <w14:textFill>
            <w14:solidFill>
              <w14:schemeClr w14:val="tx1"/>
            </w14:solidFill>
          </w14:textFill>
        </w:rPr>
        <w:t>遵守法律、法规，品行端正；</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eastAsia"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二、已获得学士学位并在获得学士学位后工作三年以上，或虽无学士学位但已获得硕士或博士学位者，在教学、科研、专门技术、管理等方面做出成绩（注：已获得的学士、硕士或博士学位为国（境）外学位的，其所获得的国（境）外学位需经教育部留学服务中心认证）。</w:t>
      </w:r>
    </w:p>
    <w:p>
      <w:pPr>
        <w:keepNext w:val="0"/>
        <w:keepLines w:val="0"/>
        <w:pageBreakBefore w:val="0"/>
        <w:widowControl/>
        <w:kinsoku/>
        <w:wordWrap/>
        <w:overflowPunct/>
        <w:topLinePunct w:val="0"/>
        <w:autoSpaceDE/>
        <w:autoSpaceDN/>
        <w:bidi w:val="0"/>
        <w:adjustRightInd/>
        <w:spacing w:line="440" w:lineRule="exact"/>
        <w:ind w:firstLine="480"/>
        <w:jc w:val="center"/>
        <w:textAlignment w:val="auto"/>
        <w:rPr>
          <w:rFonts w:ascii="黑体" w:hAnsi="黑体" w:eastAsia="黑体" w:cs="宋体"/>
          <w:b/>
          <w:bCs/>
          <w:color w:val="000000" w:themeColor="text1"/>
          <w:kern w:val="0"/>
          <w:sz w:val="28"/>
          <w:szCs w:val="28"/>
          <w14:textFill>
            <w14:solidFill>
              <w14:schemeClr w14:val="tx1"/>
            </w14:solidFill>
          </w14:textFill>
        </w:rPr>
      </w:pPr>
      <w:r>
        <w:rPr>
          <w:rFonts w:hint="eastAsia" w:ascii="黑体" w:hAnsi="黑体" w:eastAsia="黑体" w:cs="宋体"/>
          <w:b/>
          <w:bCs/>
          <w:color w:val="000000" w:themeColor="text1"/>
          <w:kern w:val="0"/>
          <w:sz w:val="28"/>
          <w:szCs w:val="28"/>
          <w14:textFill>
            <w14:solidFill>
              <w14:schemeClr w14:val="tx1"/>
            </w14:solidFill>
          </w14:textFill>
        </w:rPr>
        <w:t>※学习年限及收费※</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一、同等学力申请硕士学位分为两个阶段：课程学习</w:t>
      </w:r>
      <w:r>
        <w:rPr>
          <w:rFonts w:hint="eastAsia" w:ascii="仿宋" w:hAnsi="仿宋" w:eastAsia="仿宋" w:cs="宋体"/>
          <w:color w:val="000000" w:themeColor="text1"/>
          <w:kern w:val="0"/>
          <w:sz w:val="28"/>
          <w:szCs w:val="28"/>
          <w:lang w:val="en-US" w:eastAsia="zh-CN"/>
          <w14:textFill>
            <w14:solidFill>
              <w14:schemeClr w14:val="tx1"/>
            </w14:solidFill>
          </w14:textFill>
        </w:rPr>
        <w:t>及全国统考</w:t>
      </w:r>
      <w:r>
        <w:rPr>
          <w:rFonts w:hint="eastAsia" w:ascii="仿宋" w:hAnsi="仿宋" w:eastAsia="仿宋" w:cs="宋体"/>
          <w:color w:val="000000" w:themeColor="text1"/>
          <w:kern w:val="0"/>
          <w:sz w:val="28"/>
          <w:szCs w:val="28"/>
          <w14:textFill>
            <w14:solidFill>
              <w14:schemeClr w14:val="tx1"/>
            </w14:solidFill>
          </w14:textFill>
        </w:rPr>
        <w:t>阶段（简称第一阶段）和学位论文撰写</w:t>
      </w:r>
      <w:r>
        <w:rPr>
          <w:rFonts w:hint="eastAsia" w:ascii="仿宋" w:hAnsi="仿宋" w:eastAsia="仿宋" w:cs="宋体"/>
          <w:color w:val="000000" w:themeColor="text1"/>
          <w:kern w:val="0"/>
          <w:sz w:val="28"/>
          <w:szCs w:val="28"/>
          <w:lang w:eastAsia="zh-CN"/>
          <w14:textFill>
            <w14:solidFill>
              <w14:schemeClr w14:val="tx1"/>
            </w14:solidFill>
          </w14:textFill>
        </w:rPr>
        <w:t>、</w:t>
      </w:r>
      <w:r>
        <w:rPr>
          <w:rFonts w:hint="eastAsia" w:ascii="仿宋" w:hAnsi="仿宋" w:eastAsia="仿宋" w:cs="宋体"/>
          <w:color w:val="000000" w:themeColor="text1"/>
          <w:kern w:val="0"/>
          <w:sz w:val="28"/>
          <w:szCs w:val="28"/>
          <w14:textFill>
            <w14:solidFill>
              <w14:schemeClr w14:val="tx1"/>
            </w14:solidFill>
          </w14:textFill>
        </w:rPr>
        <w:t>答辩</w:t>
      </w:r>
      <w:r>
        <w:rPr>
          <w:rFonts w:hint="eastAsia" w:ascii="仿宋" w:hAnsi="仿宋" w:eastAsia="仿宋" w:cs="宋体"/>
          <w:color w:val="000000" w:themeColor="text1"/>
          <w:kern w:val="0"/>
          <w:sz w:val="28"/>
          <w:szCs w:val="28"/>
          <w:lang w:val="en-US" w:eastAsia="zh-CN"/>
          <w14:textFill>
            <w14:solidFill>
              <w14:schemeClr w14:val="tx1"/>
            </w14:solidFill>
          </w14:textFill>
        </w:rPr>
        <w:t>与学位申请</w:t>
      </w:r>
      <w:r>
        <w:rPr>
          <w:rFonts w:hint="eastAsia" w:ascii="仿宋" w:hAnsi="仿宋" w:eastAsia="仿宋" w:cs="宋体"/>
          <w:color w:val="000000" w:themeColor="text1"/>
          <w:kern w:val="0"/>
          <w:sz w:val="28"/>
          <w:szCs w:val="28"/>
          <w14:textFill>
            <w14:solidFill>
              <w14:schemeClr w14:val="tx1"/>
            </w14:solidFill>
          </w14:textFill>
        </w:rPr>
        <w:t>阶段（简称第二阶段）。申请人自通过资格审查之日起，须在八年内完成两个阶段的学习。</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二、第一阶段：申请人自通过资格审查之日起，1-2年</w:t>
      </w:r>
      <w:r>
        <w:rPr>
          <w:rFonts w:ascii="仿宋" w:hAnsi="仿宋" w:eastAsia="仿宋" w:cs="宋体"/>
          <w:color w:val="000000" w:themeColor="text1"/>
          <w:kern w:val="0"/>
          <w:sz w:val="28"/>
          <w:szCs w:val="28"/>
          <w14:textFill>
            <w14:solidFill>
              <w14:schemeClr w14:val="tx1"/>
            </w14:solidFill>
          </w14:textFill>
        </w:rPr>
        <w:t>内</w:t>
      </w:r>
      <w:r>
        <w:rPr>
          <w:rFonts w:hint="eastAsia" w:ascii="仿宋" w:hAnsi="仿宋" w:eastAsia="仿宋" w:cs="宋体"/>
          <w:color w:val="000000" w:themeColor="text1"/>
          <w:kern w:val="0"/>
          <w:sz w:val="28"/>
          <w:szCs w:val="28"/>
          <w14:textFill>
            <w14:solidFill>
              <w14:schemeClr w14:val="tx1"/>
            </w14:solidFill>
          </w14:textFill>
        </w:rPr>
        <w:t>完成学校组织的全部课程考试，</w:t>
      </w:r>
      <w:r>
        <w:rPr>
          <w:rFonts w:ascii="仿宋" w:hAnsi="仿宋" w:eastAsia="仿宋" w:cs="宋体"/>
          <w:color w:val="000000" w:themeColor="text1"/>
          <w:kern w:val="0"/>
          <w:sz w:val="28"/>
          <w:szCs w:val="28"/>
          <w14:textFill>
            <w14:solidFill>
              <w14:schemeClr w14:val="tx1"/>
            </w14:solidFill>
          </w14:textFill>
        </w:rPr>
        <w:t>并在</w:t>
      </w:r>
      <w:r>
        <w:rPr>
          <w:rFonts w:hint="eastAsia" w:ascii="仿宋" w:hAnsi="仿宋" w:eastAsia="仿宋" w:cs="宋体"/>
          <w:color w:val="000000" w:themeColor="text1"/>
          <w:kern w:val="0"/>
          <w:sz w:val="28"/>
          <w:szCs w:val="28"/>
          <w14:textFill>
            <w14:solidFill>
              <w14:schemeClr w14:val="tx1"/>
            </w14:solidFill>
          </w14:textFill>
        </w:rPr>
        <w:t>6年</w:t>
      </w:r>
      <w:r>
        <w:rPr>
          <w:rFonts w:ascii="仿宋" w:hAnsi="仿宋" w:eastAsia="仿宋" w:cs="宋体"/>
          <w:color w:val="000000" w:themeColor="text1"/>
          <w:kern w:val="0"/>
          <w:sz w:val="28"/>
          <w:szCs w:val="28"/>
          <w14:textFill>
            <w14:solidFill>
              <w14:schemeClr w14:val="tx1"/>
            </w14:solidFill>
          </w14:textFill>
        </w:rPr>
        <w:t>内</w:t>
      </w:r>
      <w:r>
        <w:rPr>
          <w:rFonts w:hint="eastAsia" w:ascii="仿宋" w:hAnsi="仿宋" w:eastAsia="仿宋" w:cs="宋体"/>
          <w:color w:val="000000" w:themeColor="text1"/>
          <w:kern w:val="0"/>
          <w:sz w:val="28"/>
          <w:szCs w:val="28"/>
          <w14:textFill>
            <w14:solidFill>
              <w14:schemeClr w14:val="tx1"/>
            </w14:solidFill>
          </w14:textFill>
        </w:rPr>
        <w:t>通</w:t>
      </w:r>
      <w:r>
        <w:rPr>
          <w:rFonts w:ascii="仿宋" w:hAnsi="仿宋" w:eastAsia="仿宋" w:cs="宋体"/>
          <w:color w:val="000000" w:themeColor="text1"/>
          <w:kern w:val="0"/>
          <w:sz w:val="28"/>
          <w:szCs w:val="28"/>
          <w14:textFill>
            <w14:solidFill>
              <w14:schemeClr w14:val="tx1"/>
            </w14:solidFill>
          </w14:textFill>
        </w:rPr>
        <w:t>过</w:t>
      </w:r>
      <w:r>
        <w:rPr>
          <w:rFonts w:hint="eastAsia" w:ascii="仿宋" w:hAnsi="仿宋" w:eastAsia="仿宋" w:cs="宋体"/>
          <w:color w:val="000000" w:themeColor="text1"/>
          <w:kern w:val="0"/>
          <w:sz w:val="28"/>
          <w:szCs w:val="28"/>
          <w14:textFill>
            <w14:solidFill>
              <w14:schemeClr w14:val="tx1"/>
            </w14:solidFill>
          </w14:textFill>
        </w:rPr>
        <w:t>国家组织的全</w:t>
      </w:r>
      <w:r>
        <w:rPr>
          <w:rFonts w:ascii="仿宋" w:hAnsi="仿宋" w:eastAsia="仿宋" w:cs="宋体"/>
          <w:color w:val="000000" w:themeColor="text1"/>
          <w:kern w:val="0"/>
          <w:sz w:val="28"/>
          <w:szCs w:val="28"/>
          <w14:textFill>
            <w14:solidFill>
              <w14:schemeClr w14:val="tx1"/>
            </w14:solidFill>
          </w14:textFill>
        </w:rPr>
        <w:t>部</w:t>
      </w:r>
      <w:r>
        <w:rPr>
          <w:rFonts w:hint="eastAsia" w:ascii="仿宋" w:hAnsi="仿宋" w:eastAsia="仿宋" w:cs="宋体"/>
          <w:color w:val="000000" w:themeColor="text1"/>
          <w:kern w:val="0"/>
          <w:sz w:val="28"/>
          <w:szCs w:val="28"/>
          <w14:textFill>
            <w14:solidFill>
              <w14:schemeClr w14:val="tx1"/>
            </w14:solidFill>
          </w14:textFill>
        </w:rPr>
        <w:t>水平考试，且成绩合格。未通过课程考试和国家组织的水平考试者，本次申请无效。</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三、第二阶段：申请人通过学位授予单位组织的全部课程考试和国家组织的水平考试后，完成学位论文的开题、撰写和答辩。</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四、收费标准：</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第一阶段：课</w:t>
      </w:r>
      <w:r>
        <w:rPr>
          <w:rFonts w:ascii="仿宋" w:hAnsi="仿宋" w:eastAsia="仿宋" w:cs="宋体"/>
          <w:color w:val="000000" w:themeColor="text1"/>
          <w:kern w:val="0"/>
          <w:sz w:val="28"/>
          <w:szCs w:val="28"/>
          <w14:textFill>
            <w14:solidFill>
              <w14:schemeClr w14:val="tx1"/>
            </w14:solidFill>
          </w14:textFill>
        </w:rPr>
        <w:t>程学习培养费</w:t>
      </w:r>
      <w:r>
        <w:rPr>
          <w:rFonts w:hint="eastAsia" w:ascii="仿宋" w:hAnsi="仿宋" w:eastAsia="仿宋" w:cs="宋体"/>
          <w:color w:val="000000" w:themeColor="text1"/>
          <w:kern w:val="0"/>
          <w:sz w:val="28"/>
          <w:szCs w:val="28"/>
          <w14:textFill>
            <w14:solidFill>
              <w14:schemeClr w14:val="tx1"/>
            </w14:solidFill>
          </w14:textFill>
        </w:rPr>
        <w:t>22000元</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第二阶段：学</w:t>
      </w:r>
      <w:r>
        <w:rPr>
          <w:rFonts w:ascii="仿宋" w:hAnsi="仿宋" w:eastAsia="仿宋" w:cs="宋体"/>
          <w:color w:val="000000" w:themeColor="text1"/>
          <w:kern w:val="0"/>
          <w:sz w:val="28"/>
          <w:szCs w:val="28"/>
          <w14:textFill>
            <w14:solidFill>
              <w14:schemeClr w14:val="tx1"/>
            </w14:solidFill>
          </w14:textFill>
        </w:rPr>
        <w:t>位申请费</w:t>
      </w:r>
      <w:r>
        <w:rPr>
          <w:rFonts w:hint="eastAsia" w:ascii="仿宋" w:hAnsi="仿宋" w:eastAsia="仿宋" w:cs="宋体"/>
          <w:color w:val="000000" w:themeColor="text1"/>
          <w:kern w:val="0"/>
          <w:sz w:val="28"/>
          <w:szCs w:val="28"/>
          <w14:textFill>
            <w14:solidFill>
              <w14:schemeClr w14:val="tx1"/>
            </w14:solidFill>
          </w14:textFill>
        </w:rPr>
        <w:t>12000元</w:t>
      </w:r>
    </w:p>
    <w:p>
      <w:pPr>
        <w:keepNext w:val="0"/>
        <w:keepLines w:val="0"/>
        <w:pageBreakBefore w:val="0"/>
        <w:kinsoku/>
        <w:wordWrap/>
        <w:overflowPunct/>
        <w:topLinePunct w:val="0"/>
        <w:autoSpaceDE/>
        <w:autoSpaceDN/>
        <w:bidi w:val="0"/>
        <w:adjustRightInd/>
        <w:snapToGrid w:val="0"/>
        <w:spacing w:line="440" w:lineRule="exact"/>
        <w:ind w:firstLine="560" w:firstLineChars="200"/>
        <w:jc w:val="left"/>
        <w:textAlignment w:val="auto"/>
        <w:rPr>
          <w:rFonts w:ascii="仿宋" w:hAnsi="仿宋" w:eastAsia="仿宋" w:cs="宋体"/>
          <w:b/>
          <w:color w:val="000000" w:themeColor="text1"/>
          <w:kern w:val="0"/>
          <w:sz w:val="28"/>
          <w:szCs w:val="28"/>
          <w14:textFill>
            <w14:solidFill>
              <w14:schemeClr w14:val="tx1"/>
            </w14:solidFill>
          </w14:textFill>
        </w:rPr>
      </w:pPr>
      <w:r>
        <w:rPr>
          <w:rFonts w:ascii="仿宋" w:hAnsi="仿宋" w:eastAsia="仿宋" w:cs="宋体"/>
          <w:color w:val="000000" w:themeColor="text1"/>
          <w:kern w:val="0"/>
          <w:sz w:val="28"/>
          <w:szCs w:val="28"/>
          <w14:textFill>
            <w14:solidFill>
              <w14:schemeClr w14:val="tx1"/>
            </w14:solidFill>
          </w14:textFill>
        </w:rPr>
        <w:t>申请人须按时缴纳学费</w:t>
      </w:r>
      <w:r>
        <w:rPr>
          <w:rFonts w:hint="eastAsia" w:ascii="仿宋" w:hAnsi="仿宋" w:eastAsia="仿宋" w:cs="宋体"/>
          <w:color w:val="000000" w:themeColor="text1"/>
          <w:kern w:val="0"/>
          <w:sz w:val="28"/>
          <w:szCs w:val="28"/>
          <w14:textFill>
            <w14:solidFill>
              <w14:schemeClr w14:val="tx1"/>
            </w14:solidFill>
          </w14:textFill>
        </w:rPr>
        <w:t>到</w:t>
      </w:r>
      <w:r>
        <w:rPr>
          <w:rFonts w:ascii="仿宋" w:hAnsi="仿宋" w:eastAsia="仿宋" w:cs="宋体"/>
          <w:color w:val="000000" w:themeColor="text1"/>
          <w:kern w:val="0"/>
          <w:sz w:val="28"/>
          <w:szCs w:val="28"/>
          <w14:textFill>
            <w14:solidFill>
              <w14:schemeClr w14:val="tx1"/>
            </w14:solidFill>
          </w14:textFill>
        </w:rPr>
        <w:t>学校财务</w:t>
      </w:r>
      <w:r>
        <w:rPr>
          <w:rFonts w:hint="eastAsia" w:ascii="仿宋" w:hAnsi="仿宋" w:eastAsia="仿宋" w:cs="宋体"/>
          <w:color w:val="000000" w:themeColor="text1"/>
          <w:kern w:val="0"/>
          <w:sz w:val="28"/>
          <w:szCs w:val="28"/>
          <w14:textFill>
            <w14:solidFill>
              <w14:schemeClr w14:val="tx1"/>
            </w14:solidFill>
          </w14:textFill>
        </w:rPr>
        <w:t>账</w:t>
      </w:r>
      <w:r>
        <w:rPr>
          <w:rFonts w:ascii="仿宋" w:hAnsi="仿宋" w:eastAsia="仿宋" w:cs="宋体"/>
          <w:color w:val="000000" w:themeColor="text1"/>
          <w:kern w:val="0"/>
          <w:sz w:val="28"/>
          <w:szCs w:val="28"/>
          <w14:textFill>
            <w14:solidFill>
              <w14:schemeClr w14:val="tx1"/>
            </w14:solidFill>
          </w14:textFill>
        </w:rPr>
        <w:t>号，具体收费标准以当年度审批备案标准为准。</w:t>
      </w:r>
      <w:r>
        <w:rPr>
          <w:rFonts w:hint="eastAsia" w:ascii="仿宋" w:hAnsi="仿宋" w:eastAsia="仿宋" w:cs="宋体"/>
          <w:color w:val="000000" w:themeColor="text1"/>
          <w:kern w:val="0"/>
          <w:sz w:val="28"/>
          <w:szCs w:val="28"/>
          <w14:textFill>
            <w14:solidFill>
              <w14:schemeClr w14:val="tx1"/>
            </w14:solidFill>
          </w14:textFill>
        </w:rPr>
        <w:t>学</w:t>
      </w:r>
      <w:r>
        <w:rPr>
          <w:rFonts w:ascii="仿宋" w:hAnsi="仿宋" w:eastAsia="仿宋" w:cs="宋体"/>
          <w:color w:val="000000" w:themeColor="text1"/>
          <w:kern w:val="0"/>
          <w:sz w:val="28"/>
          <w:szCs w:val="28"/>
          <w14:textFill>
            <w14:solidFill>
              <w14:schemeClr w14:val="tx1"/>
            </w14:solidFill>
          </w14:textFill>
        </w:rPr>
        <w:t>位申请</w:t>
      </w:r>
      <w:r>
        <w:rPr>
          <w:rFonts w:hint="eastAsia" w:ascii="仿宋" w:hAnsi="仿宋" w:eastAsia="仿宋" w:cs="宋体"/>
          <w:color w:val="000000" w:themeColor="text1"/>
          <w:kern w:val="0"/>
          <w:sz w:val="28"/>
          <w:szCs w:val="28"/>
          <w14:textFill>
            <w14:solidFill>
              <w14:schemeClr w14:val="tx1"/>
            </w14:solidFill>
          </w14:textFill>
        </w:rPr>
        <w:t>费在通过学位相关考试进入论文写作环节时交清。</w:t>
      </w:r>
      <w:r>
        <w:rPr>
          <w:rFonts w:hint="eastAsia" w:ascii="仿宋" w:hAnsi="仿宋" w:eastAsia="仿宋" w:cs="宋体"/>
          <w:b/>
          <w:color w:val="000000" w:themeColor="text1"/>
          <w:kern w:val="0"/>
          <w:sz w:val="28"/>
          <w:szCs w:val="28"/>
          <w14:textFill>
            <w14:solidFill>
              <w14:schemeClr w14:val="tx1"/>
            </w14:solidFill>
          </w14:textFill>
        </w:rPr>
        <w:t>学</w:t>
      </w:r>
      <w:r>
        <w:rPr>
          <w:rFonts w:ascii="仿宋" w:hAnsi="仿宋" w:eastAsia="仿宋" w:cs="宋体"/>
          <w:b/>
          <w:color w:val="000000" w:themeColor="text1"/>
          <w:kern w:val="0"/>
          <w:sz w:val="28"/>
          <w:szCs w:val="28"/>
          <w14:textFill>
            <w14:solidFill>
              <w14:schemeClr w14:val="tx1"/>
            </w14:solidFill>
          </w14:textFill>
        </w:rPr>
        <w:t>校未委托任何第三方机构或个人代理本项目招生、培训及收费等事宜</w:t>
      </w:r>
      <w:r>
        <w:rPr>
          <w:rFonts w:hint="eastAsia" w:ascii="仿宋" w:hAnsi="仿宋" w:eastAsia="仿宋" w:cs="宋体"/>
          <w:b/>
          <w:color w:val="000000" w:themeColor="text1"/>
          <w:kern w:val="0"/>
          <w:sz w:val="28"/>
          <w:szCs w:val="28"/>
          <w14:textFill>
            <w14:solidFill>
              <w14:schemeClr w14:val="tx1"/>
            </w14:solidFill>
          </w14:textFill>
        </w:rPr>
        <w:t>，所有费用一经交纳，概不退回。</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ascii="仿宋" w:hAnsi="仿宋" w:eastAsia="仿宋" w:cs="宋体"/>
          <w:b/>
          <w:color w:val="000000" w:themeColor="text1"/>
          <w:kern w:val="0"/>
          <w:sz w:val="28"/>
          <w:szCs w:val="28"/>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ascii="黑体" w:hAnsi="黑体" w:eastAsia="黑体" w:cs="宋体"/>
          <w:b/>
          <w:bCs/>
          <w:color w:val="000000" w:themeColor="text1"/>
          <w:kern w:val="0"/>
          <w:sz w:val="28"/>
          <w:szCs w:val="28"/>
          <w14:textFill>
            <w14:solidFill>
              <w14:schemeClr w14:val="tx1"/>
            </w14:solidFill>
          </w14:textFill>
        </w:rPr>
      </w:pPr>
      <w:r>
        <w:rPr>
          <w:rFonts w:hint="eastAsia" w:ascii="仿宋" w:hAnsi="仿宋" w:eastAsia="仿宋" w:cs="宋体"/>
          <w:b/>
          <w:bCs/>
          <w:color w:val="000000" w:themeColor="text1"/>
          <w:kern w:val="0"/>
          <w:sz w:val="28"/>
          <w:szCs w:val="28"/>
          <w14:textFill>
            <w14:solidFill>
              <w14:schemeClr w14:val="tx1"/>
            </w14:solidFill>
          </w14:textFill>
        </w:rPr>
        <w:t>申请步骤和缴费方式详见《湖南科技大学2023年同等学力人员申请硕士学位招生简章》。</w:t>
      </w:r>
    </w:p>
    <w:p>
      <w:pPr>
        <w:keepNext w:val="0"/>
        <w:keepLines w:val="0"/>
        <w:pageBreakBefore w:val="0"/>
        <w:widowControl/>
        <w:kinsoku/>
        <w:wordWrap/>
        <w:overflowPunct/>
        <w:topLinePunct w:val="0"/>
        <w:autoSpaceDE/>
        <w:autoSpaceDN/>
        <w:bidi w:val="0"/>
        <w:adjustRightInd/>
        <w:spacing w:line="440" w:lineRule="exact"/>
        <w:ind w:firstLine="480"/>
        <w:jc w:val="center"/>
        <w:textAlignment w:val="auto"/>
        <w:rPr>
          <w:rFonts w:ascii="黑体" w:hAnsi="黑体" w:eastAsia="黑体" w:cs="宋体"/>
          <w:b/>
          <w:bCs/>
          <w:color w:val="000000" w:themeColor="text1"/>
          <w:kern w:val="0"/>
          <w:sz w:val="28"/>
          <w:szCs w:val="28"/>
          <w14:textFill>
            <w14:solidFill>
              <w14:schemeClr w14:val="tx1"/>
            </w14:solidFill>
          </w14:textFill>
        </w:rPr>
      </w:pPr>
      <w:r>
        <w:rPr>
          <w:rFonts w:hint="eastAsia" w:ascii="黑体" w:hAnsi="黑体" w:eastAsia="黑体" w:cs="宋体"/>
          <w:b/>
          <w:bCs/>
          <w:color w:val="000000" w:themeColor="text1"/>
          <w:kern w:val="0"/>
          <w:sz w:val="28"/>
          <w:szCs w:val="28"/>
          <w14:textFill>
            <w14:solidFill>
              <w14:schemeClr w14:val="tx1"/>
            </w14:solidFill>
          </w14:textFill>
        </w:rPr>
        <w:t>※颁发证书※</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1、申</w:t>
      </w:r>
      <w:r>
        <w:rPr>
          <w:rFonts w:ascii="仿宋" w:hAnsi="仿宋" w:eastAsia="仿宋" w:cs="宋体"/>
          <w:color w:val="000000" w:themeColor="text1"/>
          <w:kern w:val="0"/>
          <w:sz w:val="28"/>
          <w:szCs w:val="28"/>
          <w14:textFill>
            <w14:solidFill>
              <w14:schemeClr w14:val="tx1"/>
            </w14:solidFill>
          </w14:textFill>
        </w:rPr>
        <w:t>请人</w:t>
      </w:r>
      <w:r>
        <w:rPr>
          <w:rFonts w:hint="eastAsia" w:ascii="仿宋" w:hAnsi="仿宋" w:eastAsia="仿宋" w:cs="宋体"/>
          <w:color w:val="000000" w:themeColor="text1"/>
          <w:kern w:val="0"/>
          <w:sz w:val="28"/>
          <w:szCs w:val="28"/>
          <w14:textFill>
            <w14:solidFill>
              <w14:schemeClr w14:val="tx1"/>
            </w14:solidFill>
          </w14:textFill>
        </w:rPr>
        <w:t>在学校规定学习年限内，修完培养方案规定的全部课程，但因未能完成学位论文等原因而未获学位者，学校准予结业，发给结业证书。</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eastAsia" w:ascii="仿宋" w:hAnsi="仿宋" w:eastAsia="仿宋" w:cs="宋体"/>
          <w:color w:val="000000" w:themeColor="text1"/>
          <w:kern w:val="0"/>
          <w:sz w:val="28"/>
          <w:szCs w:val="28"/>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2、申请硕士学位者，参照《国务院学位委员会关于授予具有研究生毕业同等学力硕士学位的规定》要求，按时通过</w:t>
      </w:r>
      <w:r>
        <w:rPr>
          <w:rFonts w:hint="eastAsia" w:ascii="仿宋" w:hAnsi="仿宋" w:eastAsia="仿宋" w:cs="宋体"/>
          <w:color w:val="000000" w:themeColor="text1"/>
          <w:kern w:val="0"/>
          <w:sz w:val="28"/>
          <w:szCs w:val="28"/>
          <w:lang w:val="en-US" w:eastAsia="zh-CN"/>
          <w14:textFill>
            <w14:solidFill>
              <w14:schemeClr w14:val="tx1"/>
            </w14:solidFill>
          </w14:textFill>
        </w:rPr>
        <w:t>学院组织的全部课程考核、</w:t>
      </w:r>
      <w:r>
        <w:rPr>
          <w:rFonts w:hint="eastAsia" w:ascii="仿宋" w:hAnsi="仿宋" w:eastAsia="仿宋" w:cs="宋体"/>
          <w:color w:val="000000" w:themeColor="text1"/>
          <w:kern w:val="0"/>
          <w:sz w:val="28"/>
          <w:szCs w:val="28"/>
          <w14:textFill>
            <w14:solidFill>
              <w14:schemeClr w14:val="tx1"/>
            </w14:solidFill>
          </w14:textFill>
        </w:rPr>
        <w:t>国家</w:t>
      </w:r>
      <w:r>
        <w:rPr>
          <w:rFonts w:hint="eastAsia" w:ascii="仿宋" w:hAnsi="仿宋" w:eastAsia="仿宋" w:cs="宋体"/>
          <w:color w:val="000000" w:themeColor="text1"/>
          <w:kern w:val="0"/>
          <w:sz w:val="28"/>
          <w:szCs w:val="28"/>
          <w:lang w:val="en-US" w:eastAsia="zh-CN"/>
          <w14:textFill>
            <w14:solidFill>
              <w14:schemeClr w14:val="tx1"/>
            </w14:solidFill>
          </w14:textFill>
        </w:rPr>
        <w:t>组织的水平考试</w:t>
      </w:r>
      <w:r>
        <w:rPr>
          <w:rFonts w:hint="eastAsia" w:ascii="仿宋" w:hAnsi="仿宋" w:eastAsia="仿宋" w:cs="宋体"/>
          <w:color w:val="000000" w:themeColor="text1"/>
          <w:kern w:val="0"/>
          <w:sz w:val="28"/>
          <w:szCs w:val="28"/>
          <w14:textFill>
            <w14:solidFill>
              <w14:schemeClr w14:val="tx1"/>
            </w14:solidFill>
          </w14:textFill>
        </w:rPr>
        <w:t>和论文答辩</w:t>
      </w:r>
      <w:bookmarkStart w:id="0" w:name="_GoBack"/>
      <w:bookmarkEnd w:id="0"/>
      <w:r>
        <w:rPr>
          <w:rFonts w:hint="eastAsia" w:ascii="仿宋" w:hAnsi="仿宋" w:eastAsia="仿宋" w:cs="宋体"/>
          <w:color w:val="000000" w:themeColor="text1"/>
          <w:kern w:val="0"/>
          <w:sz w:val="28"/>
          <w:szCs w:val="28"/>
          <w14:textFill>
            <w14:solidFill>
              <w14:schemeClr w14:val="tx1"/>
            </w14:solidFill>
          </w14:textFill>
        </w:rPr>
        <w:t>，按照湖南科技大学申请同等学力硕士学位的流程完成各项申请工作，经学校学位委员会评定通过，可授予</w:t>
      </w:r>
      <w:r>
        <w:rPr>
          <w:rFonts w:hint="eastAsia" w:ascii="仿宋" w:hAnsi="仿宋" w:eastAsia="仿宋" w:cs="宋体"/>
          <w:color w:val="000000" w:themeColor="text1"/>
          <w:kern w:val="0"/>
          <w:sz w:val="28"/>
          <w:szCs w:val="28"/>
          <w:lang w:val="en-US" w:eastAsia="zh-CN"/>
          <w14:textFill>
            <w14:solidFill>
              <w14:schemeClr w14:val="tx1"/>
            </w14:solidFill>
          </w14:textFill>
        </w:rPr>
        <w:t>教育学</w:t>
      </w:r>
      <w:r>
        <w:rPr>
          <w:rFonts w:hint="eastAsia" w:ascii="仿宋" w:hAnsi="仿宋" w:eastAsia="仿宋" w:cs="宋体"/>
          <w:color w:val="000000" w:themeColor="text1"/>
          <w:kern w:val="0"/>
          <w:sz w:val="28"/>
          <w:szCs w:val="28"/>
          <w14:textFill>
            <w14:solidFill>
              <w14:schemeClr w14:val="tx1"/>
            </w14:solidFill>
          </w14:textFill>
        </w:rPr>
        <w:t>硕士学位。</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eastAsia" w:ascii="仿宋" w:hAnsi="仿宋" w:eastAsia="仿宋" w:cs="宋体"/>
          <w:color w:val="000000" w:themeColor="text1"/>
          <w:kern w:val="0"/>
          <w:sz w:val="28"/>
          <w:szCs w:val="28"/>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440" w:lineRule="exact"/>
        <w:ind w:firstLine="480"/>
        <w:jc w:val="center"/>
        <w:textAlignment w:val="auto"/>
        <w:rPr>
          <w:rFonts w:ascii="黑体" w:hAnsi="黑体" w:eastAsia="黑体" w:cs="宋体"/>
          <w:b/>
          <w:bCs/>
          <w:color w:val="000000" w:themeColor="text1"/>
          <w:kern w:val="0"/>
          <w:sz w:val="28"/>
          <w:szCs w:val="28"/>
          <w14:textFill>
            <w14:solidFill>
              <w14:schemeClr w14:val="tx1"/>
            </w14:solidFill>
          </w14:textFill>
        </w:rPr>
      </w:pPr>
      <w:r>
        <w:rPr>
          <w:rFonts w:hint="eastAsia" w:ascii="黑体" w:hAnsi="黑体" w:eastAsia="黑体" w:cs="宋体"/>
          <w:b/>
          <w:bCs/>
          <w:color w:val="000000" w:themeColor="text1"/>
          <w:kern w:val="0"/>
          <w:sz w:val="28"/>
          <w:szCs w:val="28"/>
          <w14:textFill>
            <w14:solidFill>
              <w14:schemeClr w14:val="tx1"/>
            </w14:solidFill>
          </w14:textFill>
        </w:rPr>
        <w:t>※报名咨询※</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eastAsia" w:ascii="仿宋" w:hAnsi="仿宋" w:eastAsia="仿宋" w:cs="宋体"/>
          <w:color w:val="000000" w:themeColor="text1"/>
          <w:kern w:val="0"/>
          <w:sz w:val="28"/>
          <w:szCs w:val="28"/>
          <w:lang w:val="en-US" w:eastAsia="zh-CN"/>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地</w:t>
      </w:r>
      <w:r>
        <w:rPr>
          <w:rFonts w:hint="eastAsia" w:ascii="仿宋" w:hAnsi="仿宋" w:eastAsia="仿宋" w:cs="宋体"/>
          <w:color w:val="000000" w:themeColor="text1"/>
          <w:kern w:val="0"/>
          <w:sz w:val="28"/>
          <w:szCs w:val="28"/>
          <w:lang w:val="en-US" w:eastAsia="zh-CN"/>
          <w14:textFill>
            <w14:solidFill>
              <w14:schemeClr w14:val="tx1"/>
            </w14:solidFill>
          </w14:textFill>
        </w:rPr>
        <w:t xml:space="preserve">  </w:t>
      </w:r>
      <w:r>
        <w:rPr>
          <w:rFonts w:hint="eastAsia" w:ascii="仿宋" w:hAnsi="仿宋" w:eastAsia="仿宋" w:cs="宋体"/>
          <w:color w:val="000000" w:themeColor="text1"/>
          <w:kern w:val="0"/>
          <w:sz w:val="28"/>
          <w:szCs w:val="28"/>
          <w14:textFill>
            <w14:solidFill>
              <w14:schemeClr w14:val="tx1"/>
            </w14:solidFill>
          </w14:textFill>
        </w:rPr>
        <w:t>址：湖南科技大学</w:t>
      </w:r>
      <w:r>
        <w:rPr>
          <w:rFonts w:hint="eastAsia" w:ascii="仿宋" w:hAnsi="仿宋" w:eastAsia="仿宋" w:cs="宋体"/>
          <w:color w:val="000000" w:themeColor="text1"/>
          <w:kern w:val="0"/>
          <w:sz w:val="28"/>
          <w:szCs w:val="28"/>
          <w:lang w:val="en-US" w:eastAsia="zh-CN"/>
          <w14:textFill>
            <w14:solidFill>
              <w14:schemeClr w14:val="tx1"/>
            </w14:solidFill>
          </w14:textFill>
        </w:rPr>
        <w:t>教育学院学科科研研究生办公室（敏行楼A310）</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eastAsia" w:ascii="仿宋" w:hAnsi="仿宋" w:eastAsia="仿宋" w:cs="宋体"/>
          <w:color w:val="000000" w:themeColor="text1"/>
          <w:kern w:val="0"/>
          <w:sz w:val="28"/>
          <w:szCs w:val="28"/>
          <w:lang w:val="en-US" w:eastAsia="zh-CN"/>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联系人：</w:t>
      </w:r>
      <w:r>
        <w:rPr>
          <w:rFonts w:hint="eastAsia" w:ascii="仿宋" w:hAnsi="仿宋" w:eastAsia="仿宋" w:cs="宋体"/>
          <w:color w:val="000000" w:themeColor="text1"/>
          <w:kern w:val="0"/>
          <w:sz w:val="28"/>
          <w:szCs w:val="28"/>
          <w:lang w:val="en-US" w:eastAsia="zh-CN"/>
          <w14:textFill>
            <w14:solidFill>
              <w14:schemeClr w14:val="tx1"/>
            </w14:solidFill>
          </w14:textFill>
        </w:rPr>
        <w:t>张桂玉</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eastAsia" w:ascii="仿宋" w:hAnsi="仿宋" w:eastAsia="仿宋" w:cs="宋体"/>
          <w:color w:val="000000" w:themeColor="text1"/>
          <w:kern w:val="0"/>
          <w:sz w:val="28"/>
          <w:szCs w:val="28"/>
          <w:lang w:val="en-US" w:eastAsia="zh-CN"/>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手</w:t>
      </w:r>
      <w:r>
        <w:rPr>
          <w:rFonts w:hint="eastAsia" w:ascii="仿宋" w:hAnsi="仿宋" w:eastAsia="仿宋" w:cs="宋体"/>
          <w:color w:val="000000" w:themeColor="text1"/>
          <w:kern w:val="0"/>
          <w:sz w:val="28"/>
          <w:szCs w:val="28"/>
          <w:lang w:val="en-US" w:eastAsia="zh-CN"/>
          <w14:textFill>
            <w14:solidFill>
              <w14:schemeClr w14:val="tx1"/>
            </w14:solidFill>
          </w14:textFill>
        </w:rPr>
        <w:t xml:space="preserve">  </w:t>
      </w:r>
      <w:r>
        <w:rPr>
          <w:rFonts w:hint="eastAsia" w:ascii="仿宋" w:hAnsi="仿宋" w:eastAsia="仿宋" w:cs="宋体"/>
          <w:color w:val="000000" w:themeColor="text1"/>
          <w:kern w:val="0"/>
          <w:sz w:val="28"/>
          <w:szCs w:val="28"/>
          <w14:textFill>
            <w14:solidFill>
              <w14:schemeClr w14:val="tx1"/>
            </w14:solidFill>
          </w14:textFill>
        </w:rPr>
        <w:t>机：</w:t>
      </w:r>
      <w:r>
        <w:rPr>
          <w:rFonts w:hint="eastAsia" w:ascii="仿宋" w:hAnsi="仿宋" w:eastAsia="仿宋" w:cs="宋体"/>
          <w:color w:val="000000" w:themeColor="text1"/>
          <w:kern w:val="0"/>
          <w:sz w:val="28"/>
          <w:szCs w:val="28"/>
          <w:lang w:val="en-US" w:eastAsia="zh-CN"/>
          <w14:textFill>
            <w14:solidFill>
              <w14:schemeClr w14:val="tx1"/>
            </w14:solidFill>
          </w14:textFill>
        </w:rPr>
        <w:t>18073205120；QQ:67503364</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座</w:t>
      </w:r>
      <w:r>
        <w:rPr>
          <w:rFonts w:hint="eastAsia" w:ascii="仿宋" w:hAnsi="仿宋" w:eastAsia="仿宋" w:cs="宋体"/>
          <w:color w:val="000000" w:themeColor="text1"/>
          <w:kern w:val="0"/>
          <w:sz w:val="28"/>
          <w:szCs w:val="28"/>
          <w:lang w:val="en-US" w:eastAsia="zh-CN"/>
          <w14:textFill>
            <w14:solidFill>
              <w14:schemeClr w14:val="tx1"/>
            </w14:solidFill>
          </w14:textFill>
        </w:rPr>
        <w:t xml:space="preserve">  </w:t>
      </w:r>
      <w:r>
        <w:rPr>
          <w:rFonts w:hint="eastAsia" w:ascii="仿宋" w:hAnsi="仿宋" w:eastAsia="仿宋" w:cs="宋体"/>
          <w:color w:val="000000" w:themeColor="text1"/>
          <w:kern w:val="0"/>
          <w:sz w:val="28"/>
          <w:szCs w:val="28"/>
          <w14:textFill>
            <w14:solidFill>
              <w14:schemeClr w14:val="tx1"/>
            </w14:solidFill>
          </w14:textFill>
        </w:rPr>
        <w:t>机：0731-5829</w:t>
      </w:r>
      <w:r>
        <w:rPr>
          <w:rFonts w:hint="eastAsia" w:ascii="仿宋" w:hAnsi="仿宋" w:eastAsia="仿宋" w:cs="宋体"/>
          <w:color w:val="000000" w:themeColor="text1"/>
          <w:kern w:val="0"/>
          <w:sz w:val="28"/>
          <w:szCs w:val="28"/>
          <w:lang w:val="en-US" w:eastAsia="zh-CN"/>
          <w14:textFill>
            <w14:solidFill>
              <w14:schemeClr w14:val="tx1"/>
            </w14:solidFill>
          </w14:textFill>
        </w:rPr>
        <w:t>1685</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eastAsia" w:ascii="仿宋" w:hAnsi="仿宋" w:eastAsia="仿宋" w:cs="宋体"/>
          <w:color w:val="000000" w:themeColor="text1"/>
          <w:kern w:val="0"/>
          <w:sz w:val="28"/>
          <w:szCs w:val="28"/>
          <w:lang w:val="en-US" w:eastAsia="zh-CN"/>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负责人：</w:t>
      </w:r>
      <w:r>
        <w:rPr>
          <w:rFonts w:hint="eastAsia" w:ascii="仿宋" w:hAnsi="仿宋" w:eastAsia="仿宋" w:cs="宋体"/>
          <w:color w:val="000000" w:themeColor="text1"/>
          <w:kern w:val="0"/>
          <w:sz w:val="28"/>
          <w:szCs w:val="28"/>
          <w:lang w:val="en-US" w:eastAsia="zh-CN"/>
          <w14:textFill>
            <w14:solidFill>
              <w14:schemeClr w14:val="tx1"/>
            </w14:solidFill>
          </w14:textFill>
        </w:rPr>
        <w:t>陈京军</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eastAsia" w:ascii="仿宋" w:hAnsi="仿宋" w:eastAsia="仿宋" w:cs="宋体"/>
          <w:color w:val="000000" w:themeColor="text1"/>
          <w:kern w:val="0"/>
          <w:sz w:val="28"/>
          <w:szCs w:val="28"/>
          <w:lang w:val="en-US" w:eastAsia="zh-CN"/>
          <w14:textFill>
            <w14:solidFill>
              <w14:schemeClr w14:val="tx1"/>
            </w14:solidFill>
          </w14:textFill>
        </w:rPr>
      </w:pPr>
      <w:r>
        <w:rPr>
          <w:rFonts w:hint="eastAsia" w:ascii="仿宋" w:hAnsi="仿宋" w:eastAsia="仿宋" w:cs="宋体"/>
          <w:color w:val="000000" w:themeColor="text1"/>
          <w:kern w:val="0"/>
          <w:sz w:val="28"/>
          <w:szCs w:val="28"/>
          <w14:textFill>
            <w14:solidFill>
              <w14:schemeClr w14:val="tx1"/>
            </w14:solidFill>
          </w14:textFill>
        </w:rPr>
        <w:t>手</w:t>
      </w:r>
      <w:r>
        <w:rPr>
          <w:rFonts w:hint="eastAsia" w:ascii="仿宋" w:hAnsi="仿宋" w:eastAsia="仿宋" w:cs="宋体"/>
          <w:color w:val="000000" w:themeColor="text1"/>
          <w:kern w:val="0"/>
          <w:sz w:val="28"/>
          <w:szCs w:val="28"/>
          <w:lang w:val="en-US" w:eastAsia="zh-CN"/>
          <w14:textFill>
            <w14:solidFill>
              <w14:schemeClr w14:val="tx1"/>
            </w14:solidFill>
          </w14:textFill>
        </w:rPr>
        <w:t xml:space="preserve">  </w:t>
      </w:r>
      <w:r>
        <w:rPr>
          <w:rFonts w:hint="eastAsia" w:ascii="仿宋" w:hAnsi="仿宋" w:eastAsia="仿宋" w:cs="宋体"/>
          <w:color w:val="000000" w:themeColor="text1"/>
          <w:kern w:val="0"/>
          <w:sz w:val="28"/>
          <w:szCs w:val="28"/>
          <w14:textFill>
            <w14:solidFill>
              <w14:schemeClr w14:val="tx1"/>
            </w14:solidFill>
          </w14:textFill>
        </w:rPr>
        <w:t>机：</w:t>
      </w:r>
      <w:r>
        <w:rPr>
          <w:rFonts w:hint="eastAsia" w:ascii="仿宋" w:hAnsi="仿宋" w:eastAsia="仿宋" w:cs="宋体"/>
          <w:color w:val="000000" w:themeColor="text1"/>
          <w:kern w:val="0"/>
          <w:sz w:val="28"/>
          <w:szCs w:val="28"/>
          <w:lang w:val="en-US" w:eastAsia="zh-CN"/>
          <w14:textFill>
            <w14:solidFill>
              <w14:schemeClr w14:val="tx1"/>
            </w14:solidFill>
          </w14:textFill>
        </w:rPr>
        <w:t>18607328973</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eastAsia" w:ascii="仿宋" w:hAnsi="仿宋" w:eastAsia="仿宋" w:cs="宋体"/>
          <w:color w:val="000000" w:themeColor="text1"/>
          <w:kern w:val="0"/>
          <w:sz w:val="28"/>
          <w:szCs w:val="28"/>
          <w:lang w:val="en-US" w:eastAsia="zh-CN"/>
          <w14:textFill>
            <w14:solidFill>
              <w14:schemeClr w14:val="tx1"/>
            </w14:solidFill>
          </w14:textFill>
        </w:rPr>
      </w:pPr>
      <w:r>
        <w:rPr>
          <w:rFonts w:hint="eastAsia" w:ascii="仿宋" w:hAnsi="仿宋" w:eastAsia="仿宋" w:cs="宋体"/>
          <w:color w:val="000000" w:themeColor="text1"/>
          <w:kern w:val="0"/>
          <w:sz w:val="28"/>
          <w:szCs w:val="28"/>
          <w:lang w:val="en-US" w:eastAsia="zh-CN"/>
          <w14:textFill>
            <w14:solidFill>
              <w14:schemeClr w14:val="tx1"/>
            </w14:solidFill>
          </w14:textFill>
        </w:rPr>
        <w:t>邮  箱：jyxyygb@126.com</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sectPr>
          <w:headerReference r:id="rId4" w:type="default"/>
          <w:pgSz w:w="11906" w:h="16838"/>
          <w:pgMar w:top="1134" w:right="1134" w:bottom="1134" w:left="1134" w:header="851" w:footer="992" w:gutter="0"/>
          <w:cols w:space="425" w:num="1"/>
          <w:docGrid w:type="lines" w:linePitch="312" w:charSpace="0"/>
        </w:sectPr>
      </w:pPr>
    </w:p>
    <w:p>
      <w:pPr>
        <w:spacing w:before="18" w:line="184" w:lineRule="auto"/>
        <w:jc w:val="center"/>
        <w:rPr>
          <w:rFonts w:ascii="微软雅黑" w:hAnsi="微软雅黑" w:eastAsia="微软雅黑" w:cs="微软雅黑"/>
          <w:spacing w:val="8"/>
          <w:sz w:val="52"/>
          <w:szCs w:val="52"/>
        </w:rPr>
      </w:pPr>
    </w:p>
    <w:p>
      <w:pPr>
        <w:spacing w:before="18" w:line="184" w:lineRule="auto"/>
        <w:jc w:val="center"/>
        <w:rPr>
          <w:rFonts w:ascii="微软雅黑" w:hAnsi="微软雅黑" w:eastAsia="微软雅黑" w:cs="微软雅黑"/>
          <w:spacing w:val="8"/>
          <w:sz w:val="52"/>
          <w:szCs w:val="52"/>
        </w:rPr>
      </w:pPr>
    </w:p>
    <w:p>
      <w:pPr>
        <w:spacing w:before="18" w:line="184" w:lineRule="auto"/>
        <w:jc w:val="center"/>
        <w:rPr>
          <w:rFonts w:ascii="微软雅黑" w:hAnsi="微软雅黑" w:eastAsia="微软雅黑" w:cs="微软雅黑"/>
          <w:sz w:val="52"/>
          <w:szCs w:val="52"/>
        </w:rPr>
      </w:pPr>
      <w:r>
        <w:rPr>
          <w:rFonts w:ascii="微软雅黑" w:hAnsi="微软雅黑" w:eastAsia="微软雅黑" w:cs="微软雅黑"/>
          <w:spacing w:val="8"/>
          <w:sz w:val="52"/>
          <w:szCs w:val="52"/>
        </w:rPr>
        <w:t xml:space="preserve">唯 实 惟 新   至 诚 致 </w:t>
      </w:r>
      <w:r>
        <w:rPr>
          <w:rFonts w:ascii="微软雅黑" w:hAnsi="微软雅黑" w:eastAsia="微软雅黑" w:cs="微软雅黑"/>
          <w:spacing w:val="6"/>
          <w:sz w:val="52"/>
          <w:szCs w:val="52"/>
        </w:rPr>
        <w:t>志</w:t>
      </w:r>
    </w:p>
    <w:p>
      <w:pPr>
        <w:spacing w:line="415" w:lineRule="exact"/>
        <w:jc w:val="center"/>
        <w:rPr>
          <w:sz w:val="36"/>
          <w:szCs w:val="36"/>
        </w:rPr>
      </w:pPr>
    </w:p>
    <w:p>
      <w:pPr>
        <w:spacing w:line="415" w:lineRule="exact"/>
        <w:jc w:val="center"/>
        <w:rPr>
          <w:sz w:val="32"/>
          <w:szCs w:val="32"/>
        </w:rPr>
      </w:pPr>
      <w:r>
        <w:rPr>
          <w:sz w:val="32"/>
          <w:szCs w:val="32"/>
        </w:rPr>
        <w:t>Realism</w:t>
      </w:r>
      <w:r>
        <w:rPr>
          <w:rFonts w:hint="eastAsia" w:eastAsia="宋体"/>
          <w:sz w:val="32"/>
          <w:szCs w:val="32"/>
        </w:rPr>
        <w:t>，</w:t>
      </w:r>
      <w:r>
        <w:rPr>
          <w:sz w:val="32"/>
          <w:szCs w:val="32"/>
        </w:rPr>
        <w:t>Innovation</w:t>
      </w:r>
      <w:r>
        <w:rPr>
          <w:rFonts w:hint="eastAsia" w:eastAsia="宋体"/>
          <w:sz w:val="32"/>
          <w:szCs w:val="32"/>
        </w:rPr>
        <w:t>，</w:t>
      </w:r>
      <w:r>
        <w:rPr>
          <w:sz w:val="32"/>
          <w:szCs w:val="32"/>
        </w:rPr>
        <w:t>Honesty</w:t>
      </w:r>
      <w:r>
        <w:rPr>
          <w:rFonts w:hint="eastAsia" w:eastAsia="宋体"/>
          <w:sz w:val="32"/>
          <w:szCs w:val="32"/>
        </w:rPr>
        <w:t xml:space="preserve">  </w:t>
      </w:r>
      <w:r>
        <w:rPr>
          <w:sz w:val="32"/>
          <w:szCs w:val="32"/>
        </w:rPr>
        <w:t>and</w:t>
      </w:r>
      <w:r>
        <w:rPr>
          <w:rFonts w:hint="eastAsia" w:eastAsia="宋体"/>
          <w:sz w:val="32"/>
          <w:szCs w:val="32"/>
        </w:rPr>
        <w:t xml:space="preserve">  </w:t>
      </w:r>
      <w:r>
        <w:rPr>
          <w:sz w:val="32"/>
          <w:szCs w:val="32"/>
        </w:rPr>
        <w:t>Ambition</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36"/>
          <w:szCs w:val="36"/>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r>
        <w:drawing>
          <wp:anchor distT="0" distB="0" distL="0" distR="0" simplePos="0" relativeHeight="251659264" behindDoc="0" locked="0" layoutInCell="1" allowOverlap="1">
            <wp:simplePos x="0" y="0"/>
            <wp:positionH relativeFrom="column">
              <wp:posOffset>213360</wp:posOffset>
            </wp:positionH>
            <wp:positionV relativeFrom="paragraph">
              <wp:posOffset>160655</wp:posOffset>
            </wp:positionV>
            <wp:extent cx="5592445" cy="2446655"/>
            <wp:effectExtent l="0" t="0" r="8255" b="10795"/>
            <wp:wrapNone/>
            <wp:docPr id="5" name="IM 5" descr="C:\Users\Administrator\Desktop\封底.jpg封底"/>
            <wp:cNvGraphicFramePr/>
            <a:graphic xmlns:a="http://schemas.openxmlformats.org/drawingml/2006/main">
              <a:graphicData uri="http://schemas.openxmlformats.org/drawingml/2006/picture">
                <pic:pic xmlns:pic="http://schemas.openxmlformats.org/drawingml/2006/picture">
                  <pic:nvPicPr>
                    <pic:cNvPr id="5" name="IM 5" descr="C:\Users\Administrator\Desktop\封底.jpg封底"/>
                    <pic:cNvPicPr/>
                  </pic:nvPicPr>
                  <pic:blipFill>
                    <a:blip r:embed="rId8"/>
                    <a:srcRect l="13021" t="38579" r="12996" b="38538"/>
                    <a:stretch>
                      <a:fillRect/>
                    </a:stretch>
                  </pic:blipFill>
                  <pic:spPr>
                    <a:xfrm>
                      <a:off x="0" y="0"/>
                      <a:ext cx="5592445" cy="2446655"/>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p>
    <w:p>
      <w:pPr>
        <w:spacing w:before="19" w:line="238" w:lineRule="auto"/>
        <w:ind w:left="2960" w:leftChars="0" w:firstLine="420" w:firstLineChars="0"/>
        <w:rPr>
          <w:rFonts w:hint="default" w:ascii="微软雅黑" w:hAnsi="微软雅黑" w:eastAsia="微软雅黑" w:cs="微软雅黑"/>
          <w:spacing w:val="10"/>
          <w:sz w:val="28"/>
          <w:szCs w:val="28"/>
          <w:lang w:val="en-US" w:eastAsia="zh-CN"/>
        </w:rPr>
      </w:pPr>
      <w:r>
        <w:rPr>
          <w:rFonts w:hint="eastAsia" w:ascii="微软雅黑" w:hAnsi="微软雅黑" w:eastAsia="微软雅黑" w:cs="微软雅黑"/>
          <w:spacing w:val="10"/>
          <w:sz w:val="28"/>
          <w:szCs w:val="28"/>
          <w:lang w:val="en-US" w:eastAsia="zh-CN"/>
        </w:rPr>
        <w:t>地址：湖南省湘潭市桃园路口</w:t>
      </w:r>
    </w:p>
    <w:p>
      <w:pPr>
        <w:spacing w:before="19" w:line="238" w:lineRule="auto"/>
        <w:ind w:left="2960" w:leftChars="0" w:firstLine="420" w:firstLineChars="0"/>
        <w:rPr>
          <w:rFonts w:ascii="微软雅黑" w:hAnsi="微软雅黑" w:eastAsia="微软雅黑" w:cs="微软雅黑"/>
          <w:spacing w:val="10"/>
          <w:sz w:val="28"/>
          <w:szCs w:val="28"/>
        </w:rPr>
      </w:pPr>
      <w:r>
        <w:rPr>
          <w:rFonts w:hint="eastAsia" w:ascii="微软雅黑" w:hAnsi="微软雅黑" w:eastAsia="微软雅黑" w:cs="微软雅黑"/>
          <w:spacing w:val="10"/>
          <w:sz w:val="28"/>
          <w:szCs w:val="28"/>
          <w:lang w:val="en-US" w:eastAsia="zh-CN"/>
        </w:rPr>
        <w:t>电话</w:t>
      </w:r>
      <w:r>
        <w:rPr>
          <w:rFonts w:ascii="微软雅黑" w:hAnsi="微软雅黑" w:eastAsia="微软雅黑" w:cs="微软雅黑"/>
          <w:spacing w:val="10"/>
          <w:sz w:val="28"/>
          <w:szCs w:val="28"/>
        </w:rPr>
        <w:t>：</w:t>
      </w:r>
      <w:r>
        <w:rPr>
          <w:rFonts w:hint="eastAsia" w:ascii="微软雅黑" w:hAnsi="微软雅黑" w:eastAsia="微软雅黑" w:cs="微软雅黑"/>
          <w:spacing w:val="10"/>
          <w:sz w:val="28"/>
          <w:szCs w:val="28"/>
        </w:rPr>
        <w:t>0731</w:t>
      </w:r>
      <w:r>
        <w:rPr>
          <w:rFonts w:hint="eastAsia" w:ascii="微软雅黑" w:hAnsi="微软雅黑" w:eastAsia="微软雅黑" w:cs="微软雅黑"/>
          <w:spacing w:val="10"/>
          <w:sz w:val="28"/>
          <w:szCs w:val="28"/>
          <w:lang w:val="en-US" w:eastAsia="zh-CN"/>
        </w:rPr>
        <w:t>-</w:t>
      </w:r>
      <w:r>
        <w:rPr>
          <w:rFonts w:hint="eastAsia" w:ascii="微软雅黑" w:hAnsi="微软雅黑" w:eastAsia="微软雅黑" w:cs="微软雅黑"/>
          <w:spacing w:val="10"/>
          <w:sz w:val="28"/>
          <w:szCs w:val="28"/>
        </w:rPr>
        <w:t>5829</w:t>
      </w:r>
      <w:r>
        <w:rPr>
          <w:rFonts w:hint="eastAsia" w:ascii="微软雅黑" w:hAnsi="微软雅黑" w:eastAsia="微软雅黑" w:cs="微软雅黑"/>
          <w:spacing w:val="10"/>
          <w:sz w:val="28"/>
          <w:szCs w:val="28"/>
          <w:lang w:val="en-US" w:eastAsia="zh-CN"/>
        </w:rPr>
        <w:t xml:space="preserve"> </w:t>
      </w:r>
      <w:r>
        <w:rPr>
          <w:rFonts w:hint="eastAsia" w:ascii="微软雅黑" w:hAnsi="微软雅黑" w:eastAsia="微软雅黑" w:cs="微软雅黑"/>
          <w:spacing w:val="10"/>
          <w:sz w:val="28"/>
          <w:szCs w:val="28"/>
        </w:rPr>
        <w:t>1685</w:t>
      </w:r>
    </w:p>
    <w:p>
      <w:pPr>
        <w:spacing w:before="21" w:line="232" w:lineRule="auto"/>
        <w:ind w:left="2979" w:leftChars="0" w:firstLine="420" w:firstLineChars="0"/>
        <w:rPr>
          <w:rFonts w:ascii="微软雅黑" w:hAnsi="微软雅黑" w:eastAsia="微软雅黑" w:cs="微软雅黑"/>
          <w:sz w:val="28"/>
          <w:szCs w:val="28"/>
        </w:rPr>
      </w:pPr>
      <w:r>
        <w:rPr>
          <w:rFonts w:ascii="微软雅黑" w:hAnsi="微软雅黑" w:eastAsia="微软雅黑" w:cs="微软雅黑"/>
          <w:spacing w:val="8"/>
          <w:sz w:val="28"/>
          <w:szCs w:val="28"/>
        </w:rPr>
        <w:t>邮</w:t>
      </w:r>
      <w:r>
        <w:rPr>
          <w:rFonts w:ascii="微软雅黑" w:hAnsi="微软雅黑" w:eastAsia="微软雅黑" w:cs="微软雅黑"/>
          <w:spacing w:val="6"/>
          <w:sz w:val="28"/>
          <w:szCs w:val="28"/>
        </w:rPr>
        <w:t>编</w:t>
      </w:r>
      <w:r>
        <w:rPr>
          <w:rFonts w:ascii="微软雅黑" w:hAnsi="微软雅黑" w:eastAsia="微软雅黑" w:cs="微软雅黑"/>
          <w:spacing w:val="10"/>
          <w:sz w:val="28"/>
          <w:szCs w:val="28"/>
        </w:rPr>
        <w:t>：</w:t>
      </w:r>
      <w:r>
        <w:rPr>
          <w:rFonts w:ascii="微软雅黑" w:hAnsi="微软雅黑" w:eastAsia="微软雅黑" w:cs="微软雅黑"/>
          <w:spacing w:val="4"/>
          <w:sz w:val="28"/>
          <w:szCs w:val="28"/>
        </w:rPr>
        <w:t>411201</w:t>
      </w:r>
    </w:p>
    <w:p>
      <w:pPr>
        <w:keepNext w:val="0"/>
        <w:keepLines w:val="0"/>
        <w:pageBreakBefore w:val="0"/>
        <w:widowControl/>
        <w:kinsoku/>
        <w:wordWrap/>
        <w:overflowPunct/>
        <w:topLinePunct w:val="0"/>
        <w:autoSpaceDE/>
        <w:autoSpaceDN/>
        <w:bidi w:val="0"/>
        <w:adjustRightInd/>
        <w:spacing w:line="440" w:lineRule="exact"/>
        <w:ind w:firstLine="480"/>
        <w:jc w:val="left"/>
        <w:textAlignment w:val="auto"/>
        <w:rPr>
          <w:rFonts w:hint="default" w:ascii="仿宋" w:hAnsi="仿宋" w:eastAsia="仿宋" w:cs="宋体"/>
          <w:color w:val="000000" w:themeColor="text1"/>
          <w:kern w:val="0"/>
          <w:sz w:val="28"/>
          <w:szCs w:val="28"/>
          <w:lang w:val="en-US" w:eastAsia="zh-CN"/>
          <w14:textFill>
            <w14:solidFill>
              <w14:schemeClr w14:val="tx1"/>
            </w14:solidFill>
          </w14:textFill>
        </w:rPr>
      </w:pPr>
    </w:p>
    <w:sectPr>
      <w:headerReference r:id="rId5"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roman"/>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0" distR="0" simplePos="0" relativeHeight="251660288" behindDoc="1" locked="0" layoutInCell="0" allowOverlap="1">
          <wp:simplePos x="0" y="0"/>
          <wp:positionH relativeFrom="page">
            <wp:posOffset>0</wp:posOffset>
          </wp:positionH>
          <wp:positionV relativeFrom="page">
            <wp:posOffset>0</wp:posOffset>
          </wp:positionV>
          <wp:extent cx="7560310" cy="10692130"/>
          <wp:effectExtent l="0" t="0" r="2540" b="13970"/>
          <wp:wrapNone/>
          <wp:docPr id="1" name="IM 1" descr="C:\Users\Administrator\Desktop\图片10副本.jpg图片10副本"/>
          <wp:cNvGraphicFramePr/>
          <a:graphic xmlns:a="http://schemas.openxmlformats.org/drawingml/2006/main">
            <a:graphicData uri="http://schemas.openxmlformats.org/drawingml/2006/picture">
              <pic:pic xmlns:pic="http://schemas.openxmlformats.org/drawingml/2006/picture">
                <pic:nvPicPr>
                  <pic:cNvPr id="1" name="IM 1" descr="C:\Users\Administrator\Desktop\图片10副本.jpg图片10副本"/>
                  <pic:cNvPicPr/>
                </pic:nvPicPr>
                <pic:blipFill>
                  <a:blip r:embed="rId1"/>
                  <a:srcRect/>
                  <a:stretch>
                    <a:fillRect/>
                  </a:stretch>
                </pic:blipFill>
                <pic:spPr>
                  <a:xfrm>
                    <a:off x="0" y="0"/>
                    <a:ext cx="7560310" cy="1069213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RhODQ4YTZlYjIxMWQwZmJjM2I5YTViOWQyZjk1YWUifQ=="/>
  </w:docVars>
  <w:rsids>
    <w:rsidRoot w:val="00617F42"/>
    <w:rsid w:val="00095E3C"/>
    <w:rsid w:val="00124EEE"/>
    <w:rsid w:val="00131E4D"/>
    <w:rsid w:val="00137C7F"/>
    <w:rsid w:val="00171EF9"/>
    <w:rsid w:val="00175735"/>
    <w:rsid w:val="002E004B"/>
    <w:rsid w:val="002F1FB2"/>
    <w:rsid w:val="00383F61"/>
    <w:rsid w:val="003D718F"/>
    <w:rsid w:val="003E0853"/>
    <w:rsid w:val="00411B47"/>
    <w:rsid w:val="00456917"/>
    <w:rsid w:val="004646A3"/>
    <w:rsid w:val="004708EA"/>
    <w:rsid w:val="00527A56"/>
    <w:rsid w:val="00542287"/>
    <w:rsid w:val="00617F42"/>
    <w:rsid w:val="00620830"/>
    <w:rsid w:val="006B404B"/>
    <w:rsid w:val="007125A9"/>
    <w:rsid w:val="00764C07"/>
    <w:rsid w:val="007C67FB"/>
    <w:rsid w:val="007E6A71"/>
    <w:rsid w:val="00874B9B"/>
    <w:rsid w:val="00937EEF"/>
    <w:rsid w:val="009A4F23"/>
    <w:rsid w:val="009F2A3F"/>
    <w:rsid w:val="00A82B50"/>
    <w:rsid w:val="00A946DA"/>
    <w:rsid w:val="00AA5619"/>
    <w:rsid w:val="00AF1CFF"/>
    <w:rsid w:val="00B2355D"/>
    <w:rsid w:val="00B4704D"/>
    <w:rsid w:val="00B76409"/>
    <w:rsid w:val="00C0431B"/>
    <w:rsid w:val="00C4704C"/>
    <w:rsid w:val="00C94546"/>
    <w:rsid w:val="00CD032F"/>
    <w:rsid w:val="00D631F5"/>
    <w:rsid w:val="00D7584B"/>
    <w:rsid w:val="00DA092E"/>
    <w:rsid w:val="00DB5F91"/>
    <w:rsid w:val="00E72444"/>
    <w:rsid w:val="00ED2EA7"/>
    <w:rsid w:val="00F26B5C"/>
    <w:rsid w:val="00F32CCA"/>
    <w:rsid w:val="00F62D5F"/>
    <w:rsid w:val="00F873D7"/>
    <w:rsid w:val="00FA3DA2"/>
    <w:rsid w:val="05EF03F3"/>
    <w:rsid w:val="099C7FC2"/>
    <w:rsid w:val="0AD41965"/>
    <w:rsid w:val="0B637570"/>
    <w:rsid w:val="15981F0D"/>
    <w:rsid w:val="1A612DDC"/>
    <w:rsid w:val="1B393C06"/>
    <w:rsid w:val="25951FC5"/>
    <w:rsid w:val="39872D6D"/>
    <w:rsid w:val="415A45BE"/>
    <w:rsid w:val="43BE0698"/>
    <w:rsid w:val="43E837B0"/>
    <w:rsid w:val="4E775E5C"/>
    <w:rsid w:val="58773629"/>
    <w:rsid w:val="61C64CD9"/>
    <w:rsid w:val="6A757C9B"/>
    <w:rsid w:val="74202C08"/>
    <w:rsid w:val="74591439"/>
    <w:rsid w:val="76BF021D"/>
    <w:rsid w:val="78D571F1"/>
    <w:rsid w:val="7DC8658F"/>
    <w:rsid w:val="7ED858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8"/>
    <w:semiHidden/>
    <w:unhideWhenUsed/>
    <w:qFormat/>
    <w:uiPriority w:val="99"/>
    <w:rPr>
      <w:sz w:val="18"/>
      <w:szCs w:val="18"/>
    </w:rPr>
  </w:style>
  <w:style w:type="paragraph" w:styleId="4">
    <w:name w:val="footer"/>
    <w:basedOn w:val="1"/>
    <w:link w:val="17"/>
    <w:unhideWhenUsed/>
    <w:qFormat/>
    <w:uiPriority w:val="99"/>
    <w:pPr>
      <w:tabs>
        <w:tab w:val="center" w:pos="4153"/>
        <w:tab w:val="right" w:pos="8306"/>
      </w:tabs>
      <w:snapToGrid w:val="0"/>
      <w:jc w:val="left"/>
    </w:pPr>
    <w:rPr>
      <w:sz w:val="18"/>
      <w:szCs w:val="18"/>
    </w:rPr>
  </w:style>
  <w:style w:type="paragraph" w:styleId="5">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22"/>
    <w:rPr>
      <w:b/>
      <w:bCs/>
    </w:rPr>
  </w:style>
  <w:style w:type="character" w:customStyle="1" w:styleId="10">
    <w:name w:val="标题 1 Char"/>
    <w:basedOn w:val="8"/>
    <w:link w:val="2"/>
    <w:qFormat/>
    <w:uiPriority w:val="9"/>
    <w:rPr>
      <w:rFonts w:ascii="宋体" w:hAnsi="宋体" w:eastAsia="宋体" w:cs="宋体"/>
      <w:b/>
      <w:bCs/>
      <w:kern w:val="36"/>
      <w:sz w:val="48"/>
      <w:szCs w:val="48"/>
    </w:rPr>
  </w:style>
  <w:style w:type="character" w:customStyle="1" w:styleId="11">
    <w:name w:val="日期1"/>
    <w:basedOn w:val="8"/>
    <w:qFormat/>
    <w:uiPriority w:val="0"/>
  </w:style>
  <w:style w:type="character" w:customStyle="1" w:styleId="12">
    <w:name w:val="reads"/>
    <w:basedOn w:val="8"/>
    <w:qFormat/>
    <w:uiPriority w:val="0"/>
  </w:style>
  <w:style w:type="paragraph" w:customStyle="1" w:styleId="13">
    <w:name w:val="vsbcontent_star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
    <w:name w:val="vsbcontent_img"/>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
    <w:name w:val="vsbcontent_end"/>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
    <w:name w:val="页眉 Char"/>
    <w:basedOn w:val="8"/>
    <w:link w:val="5"/>
    <w:qFormat/>
    <w:uiPriority w:val="99"/>
    <w:rPr>
      <w:sz w:val="18"/>
      <w:szCs w:val="18"/>
    </w:rPr>
  </w:style>
  <w:style w:type="character" w:customStyle="1" w:styleId="17">
    <w:name w:val="页脚 Char"/>
    <w:basedOn w:val="8"/>
    <w:link w:val="4"/>
    <w:qFormat/>
    <w:uiPriority w:val="99"/>
    <w:rPr>
      <w:sz w:val="18"/>
      <w:szCs w:val="18"/>
    </w:rPr>
  </w:style>
  <w:style w:type="character" w:customStyle="1" w:styleId="18">
    <w:name w:val="批注框文本 Char"/>
    <w:basedOn w:val="8"/>
    <w:link w:val="3"/>
    <w:semiHidden/>
    <w:qFormat/>
    <w:uiPriority w:val="99"/>
    <w:rPr>
      <w:sz w:val="18"/>
      <w:szCs w:val="18"/>
    </w:rPr>
  </w:style>
  <w:style w:type="character" w:customStyle="1" w:styleId="19">
    <w:name w:val="font81"/>
    <w:basedOn w:val="8"/>
    <w:qFormat/>
    <w:uiPriority w:val="0"/>
    <w:rPr>
      <w:rFonts w:ascii="Arial" w:hAnsi="Arial" w:cs="Arial"/>
      <w:b/>
      <w:bCs/>
      <w:color w:val="FFFFFF"/>
      <w:sz w:val="24"/>
      <w:szCs w:val="24"/>
      <w:u w:val="none"/>
    </w:rPr>
  </w:style>
  <w:style w:type="character" w:customStyle="1" w:styleId="20">
    <w:name w:val="font21"/>
    <w:basedOn w:val="8"/>
    <w:qFormat/>
    <w:uiPriority w:val="0"/>
    <w:rPr>
      <w:rFonts w:hint="eastAsia" w:ascii="微软雅黑" w:hAnsi="微软雅黑" w:eastAsia="微软雅黑" w:cs="微软雅黑"/>
      <w:b/>
      <w:bCs/>
      <w:color w:val="FFFFFF"/>
      <w:sz w:val="24"/>
      <w:szCs w:val="24"/>
      <w:u w:val="none"/>
    </w:rPr>
  </w:style>
  <w:style w:type="character" w:customStyle="1" w:styleId="21">
    <w:name w:val="font11"/>
    <w:basedOn w:val="8"/>
    <w:qFormat/>
    <w:uiPriority w:val="0"/>
    <w:rPr>
      <w:rFonts w:hint="eastAsia" w:ascii="微软雅黑" w:hAnsi="微软雅黑" w:eastAsia="微软雅黑" w:cs="微软雅黑"/>
      <w:color w:val="000000"/>
      <w:sz w:val="16"/>
      <w:szCs w:val="16"/>
      <w:u w:val="none"/>
    </w:rPr>
  </w:style>
  <w:style w:type="character" w:customStyle="1" w:styleId="22">
    <w:name w:val="font01"/>
    <w:basedOn w:val="8"/>
    <w:qFormat/>
    <w:uiPriority w:val="0"/>
    <w:rPr>
      <w:rFonts w:hint="default" w:ascii="Arial" w:hAnsi="Arial" w:cs="Arial"/>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51BB9-C1BD-4134-84FB-3AA46F92372B}">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Pages>
  <Words>424</Words>
  <Characters>2420</Characters>
  <Lines>20</Lines>
  <Paragraphs>5</Paragraphs>
  <TotalTime>0</TotalTime>
  <ScaleCrop>false</ScaleCrop>
  <LinksUpToDate>false</LinksUpToDate>
  <CharactersWithSpaces>2839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2023-04-20T03:34:00Z</dcterms:created>
  <dc:creator>曾治国</dc:creator>
  <cp:lastModifiedBy>胖妞</cp:lastModifiedBy>
  <cp:lastPrinted>2023-04-20T07:09:00Z</cp:lastPrinted>
  <dcterms:modified xsi:type="dcterms:W3CDTF">2023-04-21T07:55:01Z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81EBD7B83180428193266692469A3A74_13</vt:lpwstr>
  </property>
</Properties>
</file>