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微软雅黑" w:hAnsi="微软雅黑" w:eastAsia="微软雅黑" w:cs="宋体"/>
          <w:b/>
          <w:color w:val="585858"/>
          <w:kern w:val="0"/>
          <w:sz w:val="32"/>
          <w:szCs w:val="32"/>
        </w:rPr>
      </w:pPr>
      <w:r>
        <w:rPr>
          <w:rFonts w:hint="eastAsia" w:ascii="微软雅黑" w:hAnsi="微软雅黑" w:eastAsia="微软雅黑" w:cs="宋体"/>
          <w:b/>
          <w:color w:val="585858"/>
          <w:kern w:val="0"/>
          <w:sz w:val="32"/>
          <w:szCs w:val="32"/>
        </w:rPr>
        <w:t>湖南科技大学2023年</w:t>
      </w:r>
      <w:r>
        <w:rPr>
          <w:rFonts w:hint="eastAsia" w:ascii="微软雅黑" w:hAnsi="微软雅黑" w:eastAsia="微软雅黑" w:cs="宋体"/>
          <w:b/>
          <w:color w:val="585858"/>
          <w:kern w:val="0"/>
          <w:sz w:val="32"/>
          <w:szCs w:val="32"/>
          <w:lang w:eastAsia="zh-CN"/>
        </w:rPr>
        <w:t>体育</w:t>
      </w:r>
      <w:r>
        <w:rPr>
          <w:rFonts w:hint="eastAsia" w:ascii="微软雅黑" w:hAnsi="微软雅黑" w:eastAsia="微软雅黑" w:cs="宋体"/>
          <w:b/>
          <w:color w:val="585858"/>
          <w:kern w:val="0"/>
          <w:sz w:val="32"/>
          <w:szCs w:val="32"/>
        </w:rPr>
        <w:t>学院</w:t>
      </w:r>
    </w:p>
    <w:p>
      <w:pPr>
        <w:widowControl/>
        <w:jc w:val="center"/>
        <w:outlineLvl w:val="0"/>
        <w:rPr>
          <w:rFonts w:ascii="微软雅黑" w:hAnsi="微软雅黑" w:eastAsia="微软雅黑" w:cs="宋体"/>
          <w:b/>
          <w:color w:val="585858"/>
          <w:kern w:val="0"/>
          <w:sz w:val="32"/>
          <w:szCs w:val="32"/>
        </w:rPr>
      </w:pPr>
      <w:r>
        <w:rPr>
          <w:rFonts w:hint="eastAsia" w:ascii="微软雅黑" w:hAnsi="微软雅黑" w:eastAsia="微软雅黑" w:cs="宋体"/>
          <w:b/>
          <w:color w:val="585858"/>
          <w:kern w:val="0"/>
          <w:sz w:val="32"/>
          <w:szCs w:val="32"/>
        </w:rPr>
        <w:t>同等学力硕士学位班招生简章</w:t>
      </w:r>
    </w:p>
    <w:p>
      <w:pPr>
        <w:widowControl/>
        <w:spacing w:line="504" w:lineRule="atLeast"/>
        <w:ind w:firstLine="480"/>
        <w:jc w:val="left"/>
        <w:rPr>
          <w:rFonts w:ascii="微软雅黑" w:hAnsi="微软雅黑" w:eastAsia="微软雅黑" w:cs="宋体"/>
          <w:color w:val="666666"/>
          <w:kern w:val="0"/>
          <w:szCs w:val="21"/>
        </w:rPr>
      </w:pPr>
    </w:p>
    <w:p>
      <w:pPr>
        <w:widowControl/>
        <w:spacing w:line="504" w:lineRule="atLeast"/>
        <w:ind w:firstLine="480"/>
        <w:jc w:val="center"/>
        <w:rPr>
          <w:rFonts w:ascii="黑体" w:hAnsi="黑体" w:eastAsia="黑体" w:cs="宋体"/>
          <w:color w:val="585858"/>
          <w:kern w:val="0"/>
          <w:sz w:val="28"/>
          <w:szCs w:val="28"/>
        </w:rPr>
      </w:pPr>
      <w:r>
        <w:rPr>
          <w:rFonts w:hint="eastAsia" w:ascii="黑体" w:hAnsi="黑体" w:eastAsia="黑体" w:cs="宋体"/>
          <w:b/>
          <w:bCs/>
          <w:color w:val="585858"/>
          <w:kern w:val="0"/>
          <w:sz w:val="28"/>
          <w:szCs w:val="28"/>
        </w:rPr>
        <w:t>※学院简介※</w:t>
      </w:r>
    </w:p>
    <w:p>
      <w:pPr>
        <w:widowControl/>
        <w:spacing w:line="504" w:lineRule="atLeast"/>
        <w:ind w:firstLine="480"/>
        <w:jc w:val="left"/>
        <w:rPr>
          <w:rFonts w:hint="eastAsia" w:ascii="仿宋" w:hAnsi="仿宋" w:eastAsia="仿宋" w:cs="宋体"/>
          <w:color w:val="585858"/>
          <w:kern w:val="0"/>
          <w:sz w:val="28"/>
          <w:szCs w:val="28"/>
          <w:lang w:eastAsia="zh-CN"/>
        </w:rPr>
      </w:pPr>
    </w:p>
    <w:p>
      <w:pPr>
        <w:widowControl/>
        <w:spacing w:line="504" w:lineRule="atLeast"/>
        <w:ind w:firstLine="48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体育学院成立于2003年，分别于2003、2006、2009、2016年获课程与教学论（体育学方向）、体育教育训练学和高校硕士、教育硕士（学科教学体育专业领域）、体育硕士专业学位授予权，2017年获批体育学一级学科硕士点。2022年，体育学被学校确立为博士点培育学科。学院与中国铁人三项运动协会共建了中国铁人三项学院。学院现有体育教育、社会体育指导与管理、运动训练3个本科专业，并和艺术学院联合培养舞蹈表演（体育舞蹈方向）专业的本科学生，其中，体育教育专业成功获批国家一流本科专业建设点。学院具有体育学一级学科、体育硕士专业学位研究生招生权。现有在校本科生1000余人，各类研究生230余人。</w:t>
      </w:r>
    </w:p>
    <w:p>
      <w:pPr>
        <w:widowControl/>
        <w:spacing w:line="504" w:lineRule="atLeast"/>
        <w:ind w:firstLine="48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学院拥有一支职称、学历、年龄结构合理、实力雄厚的师资队伍。现有教职工76人，其中教授12人，副教授18人，博士23人（含在读博士5人），硕士37人。教师中现有湖南省五一劳动奖章获得者1人，湖南省青年骨干教师3人。学院现有在建省级一流课程7门，2022年获首批国家体育科普基地，有省级教学团队、省级研究创新基地、省级民族传统体育训练基地等省级平台5个，2022年学院被列为湖南省新时代深化教育评价改革试点院（系）。近年来体育学院教师承担国家自科基金2项，国家社科基金9项，教育部项目4项，省自科、社科基金等省级项目90余项，学院教师以第一作者和通讯作者在SCI、SSCI、EI、CSSCI、CSCD等刊物发表论文300余篇，出版著作和教材30余部，获省级教学成果奖3项，省级教育科学研究成果奖1项，近3年在湖南省青年体育教师教学比武中获一等奖2项，二等3项，三等奖2项。</w:t>
      </w:r>
    </w:p>
    <w:p>
      <w:pPr>
        <w:widowControl/>
        <w:spacing w:line="504" w:lineRule="atLeast"/>
        <w:ind w:firstLine="48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学院教学、实验、办公等各项设备齐全。学院现有400米标准塑胶田径场3个、多功能现代化室内体育馆2座、训练馆3座、足球场3个、篮球场35个、排球场12个、网球场7个、标准游泳池1个，建有南方高校首个室内真冰冰雪馆，新建击剑馆1个，体育运动场地总面积118206平方米。室内综合性体育馆总面积7600平方米，设有羽毛球房、乒乓球房、篮球房、排球房、武术房、体操房、健身房、舞蹈房等。</w:t>
      </w:r>
    </w:p>
    <w:p>
      <w:pPr>
        <w:widowControl/>
        <w:spacing w:line="504" w:lineRule="atLeast"/>
        <w:ind w:firstLine="480"/>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学院一贯重视学生基本素质的全面发展，重视学生专业技术与技能的提高。学院曾代表湖南省参加教育部全国高校体育教育专业学生教学基本功大赛获得团体总分一等奖，专业基础理论知识团体一等奖，运动技能类团体二等奖及精神文明代表队。以体育学院为主体的学校运动队，在田径、篮球、羽毛球、武术、体育舞蹈、健美操等项目上具有较好的基础和实力。近年来学生在全国举重竞赛、全国射击锦标赛、全国赛艇锦标赛中表现突出，分别取得女子55kg举重亚军、射击比赛团体季军、甲组女子双人双桨和四人双桨第四名等优异成绩。在2022年湖南省第十二届大学生运动会上，运动代表队获得金牌10枚，奖牌总数榜和团体积分榜中都位居第四，并获得2026年湖南省第十三届大学生运动会承办权。在湖南省第五届、第六届高等学校体育教育专业学生基本功大赛中，我校代表队连续获得团体总分一等奖、基础理论知识与教学技能团体一等奖等多项优异成绩。</w:t>
      </w:r>
    </w:p>
    <w:p>
      <w:pPr>
        <w:widowControl/>
        <w:spacing w:line="504" w:lineRule="atLeast"/>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※专业方向※</w:t>
      </w:r>
    </w:p>
    <w:p>
      <w:pPr>
        <w:widowControl/>
        <w:spacing w:line="504" w:lineRule="atLeast"/>
        <w:jc w:val="center"/>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eastAsia="zh-CN"/>
        </w:rPr>
        <w:t>体育学</w:t>
      </w:r>
    </w:p>
    <w:p>
      <w:pPr>
        <w:widowControl/>
        <w:spacing w:line="504" w:lineRule="atLeast"/>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※培养对象※</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从事</w:t>
      </w:r>
      <w:r>
        <w:rPr>
          <w:rFonts w:hint="eastAsia" w:ascii="仿宋" w:hAnsi="仿宋" w:eastAsia="仿宋" w:cs="宋体"/>
          <w:color w:val="auto"/>
          <w:kern w:val="0"/>
          <w:sz w:val="28"/>
          <w:szCs w:val="28"/>
          <w:lang w:eastAsia="zh-CN"/>
        </w:rPr>
        <w:t>本专业</w:t>
      </w:r>
      <w:r>
        <w:rPr>
          <w:rFonts w:hint="eastAsia" w:ascii="仿宋" w:hAnsi="仿宋" w:eastAsia="仿宋" w:cs="宋体"/>
          <w:color w:val="auto"/>
          <w:kern w:val="0"/>
          <w:sz w:val="28"/>
          <w:szCs w:val="28"/>
        </w:rPr>
        <w:t>相关工作的在职人员。</w:t>
      </w: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※培养目标※</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主要面向</w:t>
      </w:r>
      <w:r>
        <w:rPr>
          <w:rFonts w:hint="eastAsia" w:ascii="仿宋" w:hAnsi="仿宋" w:eastAsia="仿宋" w:cs="宋体"/>
          <w:color w:val="auto"/>
          <w:kern w:val="0"/>
          <w:sz w:val="28"/>
          <w:szCs w:val="28"/>
          <w:lang w:eastAsia="zh-CN"/>
        </w:rPr>
        <w:t>从事本专业相关工作的</w:t>
      </w:r>
      <w:r>
        <w:rPr>
          <w:rFonts w:hint="eastAsia" w:ascii="仿宋" w:hAnsi="仿宋" w:eastAsia="仿宋" w:cs="宋体"/>
          <w:color w:val="auto"/>
          <w:kern w:val="0"/>
          <w:sz w:val="28"/>
          <w:szCs w:val="28"/>
        </w:rPr>
        <w:t>在职人员，秉承“立德树人”的根本宗旨，培养面向现代化、面向世界、面向未来，德、智、体全面发展，基础知识宽厚、专业能力突出、具有人文和科学精神，能在体育教育和运动训练领域从事教学、训练、科研及管理的专门人才。</w:t>
      </w: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※培养方式※</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课程学习形式为面授教学与网络教学相结合；面授教学的上课时间主要安排在周末、节假日和寒暑假。</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一个月2-3次课程。</w:t>
      </w: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※培养方案※</w:t>
      </w:r>
    </w:p>
    <w:p>
      <w:pPr>
        <w:widowControl/>
        <w:spacing w:line="504" w:lineRule="atLeast"/>
        <w:ind w:firstLine="48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同等学力人</w:t>
      </w:r>
      <w:r>
        <w:rPr>
          <w:rFonts w:ascii="仿宋" w:hAnsi="仿宋" w:eastAsia="仿宋" w:cs="宋体"/>
          <w:color w:val="auto"/>
          <w:kern w:val="0"/>
          <w:sz w:val="28"/>
          <w:szCs w:val="28"/>
        </w:rPr>
        <w:t>员</w:t>
      </w:r>
      <w:r>
        <w:rPr>
          <w:rFonts w:hint="eastAsia" w:ascii="仿宋" w:hAnsi="仿宋" w:eastAsia="仿宋" w:cs="宋体"/>
          <w:color w:val="auto"/>
          <w:kern w:val="0"/>
          <w:sz w:val="28"/>
          <w:szCs w:val="28"/>
        </w:rPr>
        <w:t>申请硕士学位按相应学科（专业）的学术学位硕士研究生培养方案执行。</w:t>
      </w:r>
    </w:p>
    <w:p>
      <w:pPr>
        <w:widowControl/>
        <w:spacing w:line="504" w:lineRule="atLeast"/>
        <w:ind w:firstLine="480"/>
        <w:jc w:val="left"/>
        <w:rPr>
          <w:rFonts w:hint="eastAsia" w:ascii="仿宋" w:hAnsi="仿宋" w:eastAsia="仿宋" w:cs="宋体"/>
          <w:color w:val="auto"/>
          <w:kern w:val="0"/>
          <w:sz w:val="28"/>
          <w:szCs w:val="28"/>
        </w:rPr>
      </w:pPr>
    </w:p>
    <w:p>
      <w:pPr>
        <w:widowControl/>
        <w:spacing w:line="504" w:lineRule="atLeast"/>
        <w:jc w:val="left"/>
        <w:rPr>
          <w:rFonts w:hint="eastAsia" w:ascii="仿宋" w:hAnsi="仿宋" w:eastAsia="仿宋" w:cs="宋体"/>
          <w:color w:val="585858"/>
          <w:kern w:val="0"/>
          <w:sz w:val="28"/>
          <w:szCs w:val="28"/>
        </w:rPr>
      </w:pPr>
    </w:p>
    <w:tbl>
      <w:tblPr>
        <w:tblStyle w:val="7"/>
        <w:tblW w:w="5000" w:type="pct"/>
        <w:tblInd w:w="0" w:type="dxa"/>
        <w:tblLayout w:type="autofit"/>
        <w:tblCellMar>
          <w:top w:w="0" w:type="dxa"/>
          <w:left w:w="0" w:type="dxa"/>
          <w:bottom w:w="0" w:type="dxa"/>
          <w:right w:w="0" w:type="dxa"/>
        </w:tblCellMar>
      </w:tblPr>
      <w:tblGrid>
        <w:gridCol w:w="1297"/>
        <w:gridCol w:w="1398"/>
        <w:gridCol w:w="1753"/>
        <w:gridCol w:w="819"/>
        <w:gridCol w:w="1078"/>
        <w:gridCol w:w="981"/>
        <w:gridCol w:w="1028"/>
      </w:tblGrid>
      <w:tr>
        <w:tblPrEx>
          <w:tblCellMar>
            <w:top w:w="0" w:type="dxa"/>
            <w:left w:w="0" w:type="dxa"/>
            <w:bottom w:w="0" w:type="dxa"/>
            <w:right w:w="0" w:type="dxa"/>
          </w:tblCellMar>
        </w:tblPrEx>
        <w:trPr>
          <w:trHeight w:val="567" w:hRule="atLeast"/>
        </w:trPr>
        <w:tc>
          <w:tcPr>
            <w:tcW w:w="5000" w:type="pct"/>
            <w:gridSpan w:val="7"/>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b/>
                <w:bCs/>
                <w:color w:val="FFFFFF"/>
                <w:sz w:val="24"/>
                <w:szCs w:val="24"/>
              </w:rPr>
              <w:t>同等学力</w:t>
            </w:r>
            <w:r>
              <w:rPr>
                <w:rFonts w:hint="eastAsia" w:ascii="Arial" w:hAnsi="微软雅黑" w:eastAsia="微软雅黑" w:cs="Arial"/>
                <w:b/>
                <w:bCs/>
                <w:color w:val="FFFFFF"/>
                <w:sz w:val="24"/>
                <w:szCs w:val="24"/>
                <w:lang w:eastAsia="zh-CN"/>
              </w:rPr>
              <w:t>体育学</w:t>
            </w:r>
            <w:r>
              <w:rPr>
                <w:rFonts w:hint="eastAsia" w:ascii="Arial" w:hAnsi="微软雅黑" w:eastAsia="微软雅黑" w:cs="Arial"/>
                <w:b/>
                <w:bCs/>
                <w:color w:val="FFFFFF"/>
                <w:sz w:val="24"/>
                <w:szCs w:val="24"/>
              </w:rPr>
              <w:t>专业培养计划（</w:t>
            </w:r>
            <w:r>
              <w:rPr>
                <w:rFonts w:ascii="Arial" w:hAnsi="Arial" w:eastAsia="微软雅黑" w:cs="Arial"/>
                <w:b/>
                <w:bCs/>
                <w:color w:val="FFFFFF"/>
                <w:sz w:val="24"/>
                <w:szCs w:val="24"/>
              </w:rPr>
              <w:t>2023</w:t>
            </w:r>
            <w:r>
              <w:rPr>
                <w:rFonts w:hint="eastAsia" w:ascii="Arial" w:hAnsi="微软雅黑" w:eastAsia="微软雅黑" w:cs="Arial"/>
                <w:b/>
                <w:bCs/>
                <w:color w:val="FFFFFF"/>
                <w:sz w:val="24"/>
                <w:szCs w:val="24"/>
              </w:rPr>
              <w:t>）</w:t>
            </w:r>
          </w:p>
        </w:tc>
      </w:tr>
      <w:tr>
        <w:tblPrEx>
          <w:tblCellMar>
            <w:top w:w="0" w:type="dxa"/>
            <w:left w:w="0" w:type="dxa"/>
            <w:bottom w:w="0" w:type="dxa"/>
            <w:right w:w="0" w:type="dxa"/>
          </w:tblCellMar>
        </w:tblPrEx>
        <w:trPr>
          <w:trHeight w:val="310" w:hRule="atLeast"/>
        </w:trPr>
        <w:tc>
          <w:tcPr>
            <w:tcW w:w="777"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课程类别</w:t>
            </w:r>
          </w:p>
        </w:tc>
        <w:tc>
          <w:tcPr>
            <w:tcW w:w="837"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课程代码</w:t>
            </w:r>
          </w:p>
        </w:tc>
        <w:tc>
          <w:tcPr>
            <w:tcW w:w="1049"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课程名称</w:t>
            </w:r>
          </w:p>
        </w:tc>
        <w:tc>
          <w:tcPr>
            <w:tcW w:w="490"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学分</w:t>
            </w:r>
          </w:p>
        </w:tc>
        <w:tc>
          <w:tcPr>
            <w:tcW w:w="645"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应修学分</w:t>
            </w:r>
          </w:p>
        </w:tc>
        <w:tc>
          <w:tcPr>
            <w:tcW w:w="587"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备注</w:t>
            </w:r>
          </w:p>
        </w:tc>
        <w:tc>
          <w:tcPr>
            <w:tcW w:w="612" w:type="pct"/>
            <w:shd w:val="clear" w:color="auto" w:fill="3BA5D3"/>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FFFFFF"/>
                <w:sz w:val="16"/>
                <w:szCs w:val="16"/>
              </w:rPr>
              <w:t>授课时间</w:t>
            </w:r>
          </w:p>
        </w:tc>
      </w:tr>
      <w:tr>
        <w:tblPrEx>
          <w:tblCellMar>
            <w:top w:w="0" w:type="dxa"/>
            <w:left w:w="0" w:type="dxa"/>
            <w:bottom w:w="0" w:type="dxa"/>
            <w:right w:w="0" w:type="dxa"/>
          </w:tblCellMar>
        </w:tblPrEx>
        <w:trPr>
          <w:trHeight w:val="556" w:hRule="atLeast"/>
        </w:trPr>
        <w:tc>
          <w:tcPr>
            <w:tcW w:w="777" w:type="pct"/>
            <w:vMerge w:val="restar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jc w:val="center"/>
              <w:rPr>
                <w:rFonts w:hint="eastAsia" w:ascii="Arial" w:hAnsi="微软雅黑" w:eastAsia="微软雅黑" w:cs="Arial"/>
                <w:color w:val="000000"/>
                <w:kern w:val="0"/>
                <w:sz w:val="16"/>
                <w:szCs w:val="16"/>
              </w:rPr>
            </w:pPr>
            <w:r>
              <w:rPr>
                <w:rFonts w:hint="eastAsia" w:ascii="Arial" w:hAnsi="微软雅黑" w:eastAsia="微软雅黑" w:cs="Arial"/>
                <w:color w:val="000000"/>
                <w:kern w:val="0"/>
                <w:sz w:val="16"/>
                <w:szCs w:val="16"/>
              </w:rPr>
              <w:t>公共基础课</w:t>
            </w:r>
          </w:p>
        </w:tc>
        <w:tc>
          <w:tcPr>
            <w:tcW w:w="837"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G19000001</w:t>
            </w:r>
          </w:p>
        </w:tc>
        <w:tc>
          <w:tcPr>
            <w:tcW w:w="1049"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中国特色社会主义理论与实践研究</w:t>
            </w:r>
          </w:p>
        </w:tc>
        <w:tc>
          <w:tcPr>
            <w:tcW w:w="490"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restar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r>
              <w:rPr>
                <w:rFonts w:hint="eastAsia" w:ascii="Arial" w:hAnsi="微软雅黑" w:eastAsia="微软雅黑" w:cs="Arial"/>
                <w:color w:val="000000"/>
                <w:sz w:val="16"/>
                <w:szCs w:val="16"/>
                <w:lang w:val="en-US" w:eastAsia="zh-CN"/>
              </w:rPr>
              <w:t>6</w:t>
            </w:r>
            <w:r>
              <w:rPr>
                <w:rFonts w:hint="eastAsia" w:ascii="Arial" w:hAnsi="微软雅黑" w:eastAsia="微软雅黑" w:cs="Arial"/>
                <w:color w:val="000000"/>
                <w:sz w:val="16"/>
                <w:szCs w:val="16"/>
              </w:rPr>
              <w:t>学分</w:t>
            </w:r>
          </w:p>
        </w:tc>
        <w:tc>
          <w:tcPr>
            <w:tcW w:w="587"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lang w:eastAsia="zh-CN"/>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G19000002</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马克思主义与社会科学方法论</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G19000004</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综合英语</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auto" w:sz="4" w:space="0"/>
              <w:right w:val="single" w:color="58B6E5" w:sz="4" w:space="0"/>
            </w:tcBorders>
            <w:vAlign w:val="center"/>
          </w:tcPr>
          <w:p>
            <w:pPr>
              <w:widowControl/>
              <w:jc w:val="center"/>
              <w:rPr>
                <w:rFonts w:hint="eastAsia" w:ascii="Arial" w:hAnsi="微软雅黑" w:eastAsia="微软雅黑" w:cs="Arial"/>
                <w:color w:val="000000"/>
                <w:kern w:val="0"/>
                <w:sz w:val="16"/>
                <w:szCs w:val="16"/>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G19000005</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学术英语与写作</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auto"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restart"/>
            <w:tcBorders>
              <w:top w:val="single" w:color="auto" w:sz="4" w:space="0"/>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r>
              <w:rPr>
                <w:rFonts w:hint="eastAsia" w:ascii="Arial" w:hAnsi="微软雅黑" w:eastAsia="微软雅黑" w:cs="Arial"/>
                <w:color w:val="000000"/>
                <w:kern w:val="0"/>
                <w:sz w:val="16"/>
                <w:szCs w:val="16"/>
                <w:lang w:eastAsia="zh-CN"/>
              </w:rPr>
              <w:t>专业理论课</w:t>
            </w: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x19170101</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体育学原理</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3</w:t>
            </w:r>
          </w:p>
        </w:tc>
        <w:tc>
          <w:tcPr>
            <w:tcW w:w="645" w:type="pct"/>
            <w:vMerge w:val="restart"/>
            <w:tcBorders>
              <w:top w:val="single" w:color="auto" w:sz="4" w:space="0"/>
              <w:left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r>
              <w:rPr>
                <w:rFonts w:hint="eastAsia" w:ascii="Arial" w:hAnsi="微软雅黑" w:eastAsia="微软雅黑" w:cs="Arial"/>
                <w:color w:val="000000"/>
                <w:sz w:val="16"/>
                <w:szCs w:val="16"/>
                <w:lang w:val="en-US" w:eastAsia="zh-CN"/>
              </w:rPr>
              <w:t>18</w:t>
            </w:r>
            <w:r>
              <w:rPr>
                <w:rFonts w:hint="eastAsia" w:ascii="Arial" w:hAnsi="微软雅黑" w:eastAsia="微软雅黑" w:cs="Arial"/>
                <w:color w:val="000000"/>
                <w:sz w:val="16"/>
                <w:szCs w:val="16"/>
              </w:rPr>
              <w:t>学分</w:t>
            </w: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x19170102</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高级运动生理学</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x19170103</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体育课程论</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x19170104</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体育科研方法</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x19170105</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学科前沿讲座</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x19170106</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运动训练理论与方法</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3</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x19171101</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学术论文写作</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x19171102</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经典书目导读</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x19171103</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体育统计理论与实践</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*必修*</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restar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kern w:val="0"/>
                <w:sz w:val="16"/>
                <w:szCs w:val="16"/>
                <w:lang w:eastAsia="zh-CN"/>
              </w:rPr>
              <w:t>专业选修</w:t>
            </w:r>
            <w:r>
              <w:rPr>
                <w:rFonts w:hint="eastAsia" w:ascii="Arial" w:hAnsi="微软雅黑" w:eastAsia="微软雅黑" w:cs="Arial"/>
                <w:color w:val="000000"/>
                <w:kern w:val="0"/>
                <w:sz w:val="16"/>
                <w:szCs w:val="16"/>
              </w:rPr>
              <w:t>课</w:t>
            </w: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x19171104</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体育社会学专题</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2</w:t>
            </w:r>
          </w:p>
        </w:tc>
        <w:tc>
          <w:tcPr>
            <w:tcW w:w="645" w:type="pct"/>
            <w:vMerge w:val="restar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r>
              <w:rPr>
                <w:rFonts w:hint="eastAsia" w:ascii="Arial" w:hAnsi="微软雅黑" w:eastAsia="微软雅黑" w:cs="Arial"/>
                <w:color w:val="000000"/>
                <w:sz w:val="16"/>
                <w:szCs w:val="16"/>
                <w:lang w:val="en-US" w:eastAsia="zh-CN"/>
              </w:rPr>
              <w:t>8</w:t>
            </w:r>
            <w:r>
              <w:rPr>
                <w:rFonts w:hint="eastAsia" w:ascii="Arial" w:hAnsi="微软雅黑" w:eastAsia="微软雅黑" w:cs="Arial"/>
                <w:color w:val="000000"/>
                <w:sz w:val="16"/>
                <w:szCs w:val="16"/>
              </w:rPr>
              <w:t>学分</w:t>
            </w: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left w:val="single" w:color="58B6E5" w:sz="4" w:space="0"/>
              <w:right w:val="single" w:color="58B6E5" w:sz="4" w:space="0"/>
            </w:tcBorders>
            <w:shd w:val="clear" w:color="auto" w:fill="DCEDF5"/>
            <w:tcMar>
              <w:top w:w="15" w:type="dxa"/>
              <w:left w:w="24" w:type="dxa"/>
              <w:bottom w:w="0" w:type="dxa"/>
              <w:right w:w="24" w:type="dxa"/>
            </w:tcMar>
            <w:vAlign w:val="center"/>
          </w:tcPr>
          <w:p>
            <w:pPr>
              <w:widowControl/>
              <w:jc w:val="center"/>
              <w:rPr>
                <w:rFonts w:hint="eastAsia" w:ascii="Arial" w:hAnsi="微软雅黑" w:eastAsia="微软雅黑" w:cs="Arial"/>
                <w:color w:val="000000"/>
                <w:kern w:val="0"/>
                <w:sz w:val="16"/>
                <w:szCs w:val="16"/>
                <w:lang w:eastAsia="zh-CN"/>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x19171106</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体育管理学专题</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2</w:t>
            </w:r>
          </w:p>
        </w:tc>
        <w:tc>
          <w:tcPr>
            <w:tcW w:w="645" w:type="pct"/>
            <w:vMerge w:val="continue"/>
            <w:tcBorders>
              <w:left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eastAsia="zh-CN"/>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rightChars="0"/>
              <w:jc w:val="center"/>
              <w:rPr>
                <w:rFonts w:hint="eastAsia" w:ascii="Arial" w:hAnsi="微软雅黑" w:eastAsia="微软雅黑" w:cs="Arial"/>
                <w:color w:val="000000"/>
                <w:kern w:val="2"/>
                <w:sz w:val="16"/>
                <w:szCs w:val="16"/>
                <w:lang w:val="en-US" w:eastAsia="zh-CN" w:bidi="ar-SA"/>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top"/>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rightChars="0"/>
              <w:jc w:val="center"/>
              <w:rPr>
                <w:rFonts w:hint="eastAsia" w:ascii="Arial" w:hAnsi="微软雅黑" w:eastAsia="微软雅黑" w:cs="Arial"/>
                <w:color w:val="000000"/>
                <w:kern w:val="2"/>
                <w:sz w:val="16"/>
                <w:szCs w:val="16"/>
                <w:lang w:val="en-US" w:eastAsia="zh-CN" w:bidi="ar-SA"/>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340"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x19171108</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体育教学设计与案例分析</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x19171113</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运动与疲劳</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x19171114</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民族传统体育研究进展</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2</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x19171117</w:t>
            </w:r>
            <w:r>
              <w:rPr>
                <w:rFonts w:hint="eastAsia" w:ascii="Arial" w:hAnsi="微软雅黑" w:eastAsia="微软雅黑" w:cs="Arial"/>
                <w:color w:val="000000"/>
                <w:sz w:val="16"/>
                <w:szCs w:val="16"/>
              </w:rPr>
              <w:tab/>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体育文献检索</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lang w:val="en-US" w:eastAsia="zh-CN"/>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278" w:hRule="atLeast"/>
        </w:trPr>
        <w:tc>
          <w:tcPr>
            <w:tcW w:w="777" w:type="pct"/>
            <w:vMerge w:val="continue"/>
            <w:tcBorders>
              <w:top w:val="single" w:color="58B6E5" w:sz="4" w:space="0"/>
              <w:left w:val="single" w:color="58B6E5" w:sz="4" w:space="0"/>
              <w:bottom w:val="single" w:color="58B6E5" w:sz="4" w:space="0"/>
              <w:right w:val="single" w:color="58B6E5" w:sz="4" w:space="0"/>
            </w:tcBorders>
            <w:vAlign w:val="center"/>
          </w:tcPr>
          <w:p>
            <w:pPr>
              <w:widowControl/>
              <w:jc w:val="left"/>
              <w:rPr>
                <w:rFonts w:ascii="Arial" w:hAnsi="Arial" w:eastAsia="宋体" w:cs="Arial"/>
                <w:kern w:val="0"/>
                <w:sz w:val="36"/>
                <w:szCs w:val="36"/>
              </w:rPr>
            </w:pP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x19171116</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奥林匹克运动</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lang w:val="en-US" w:eastAsia="zh-CN"/>
              </w:rPr>
            </w:pPr>
            <w:r>
              <w:rPr>
                <w:rFonts w:hint="eastAsia" w:ascii="Arial" w:hAnsi="微软雅黑" w:eastAsia="微软雅黑" w:cs="Arial"/>
                <w:color w:val="000000"/>
                <w:sz w:val="16"/>
                <w:szCs w:val="16"/>
              </w:rPr>
              <w:t>1</w:t>
            </w:r>
          </w:p>
        </w:tc>
        <w:tc>
          <w:tcPr>
            <w:tcW w:w="645" w:type="pct"/>
            <w:vMerge w:val="continue"/>
            <w:tcBorders>
              <w:top w:val="single" w:color="58B6E5" w:sz="4" w:space="0"/>
              <w:left w:val="single" w:color="58B6E5" w:sz="4" w:space="0"/>
              <w:bottom w:val="single" w:color="58B6E5" w:sz="4" w:space="0"/>
              <w:right w:val="single" w:color="58B6E5" w:sz="4" w:space="0"/>
            </w:tcBorders>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w:t>
            </w:r>
            <w:r>
              <w:rPr>
                <w:rFonts w:hint="eastAsia" w:ascii="Arial" w:hAnsi="微软雅黑" w:eastAsia="微软雅黑" w:cs="Arial"/>
                <w:color w:val="000000"/>
                <w:sz w:val="16"/>
                <w:szCs w:val="16"/>
                <w:lang w:eastAsia="zh-CN"/>
              </w:rPr>
              <w:t>选</w:t>
            </w:r>
            <w:r>
              <w:rPr>
                <w:rFonts w:hint="eastAsia" w:ascii="Arial" w:hAnsi="微软雅黑" w:eastAsia="微软雅黑" w:cs="Arial"/>
                <w:color w:val="000000"/>
                <w:sz w:val="16"/>
                <w:szCs w:val="16"/>
              </w:rPr>
              <w:t>修*</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24" w:type="dxa"/>
              <w:bottom w:w="0" w:type="dxa"/>
              <w:right w:w="24" w:type="dxa"/>
            </w:tcMar>
            <w:vAlign w:val="center"/>
          </w:tcPr>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rPr>
              <w:t>周六、周日</w:t>
            </w:r>
          </w:p>
          <w:p>
            <w:pPr>
              <w:widowControl/>
              <w:ind w:right="115"/>
              <w:jc w:val="center"/>
              <w:rPr>
                <w:rFonts w:hint="eastAsia" w:ascii="Arial" w:hAnsi="微软雅黑" w:eastAsia="微软雅黑" w:cs="Arial"/>
                <w:color w:val="000000"/>
                <w:sz w:val="16"/>
                <w:szCs w:val="16"/>
              </w:rPr>
            </w:pPr>
            <w:r>
              <w:rPr>
                <w:rFonts w:hint="eastAsia" w:ascii="Arial" w:hAnsi="微软雅黑" w:eastAsia="微软雅黑" w:cs="Arial"/>
                <w:color w:val="000000"/>
                <w:sz w:val="16"/>
                <w:szCs w:val="16"/>
                <w:lang w:eastAsia="zh-CN"/>
              </w:rPr>
              <w:t>寒暑假</w:t>
            </w:r>
          </w:p>
        </w:tc>
      </w:tr>
      <w:tr>
        <w:tblPrEx>
          <w:tblCellMar>
            <w:top w:w="0" w:type="dxa"/>
            <w:left w:w="0" w:type="dxa"/>
            <w:bottom w:w="0" w:type="dxa"/>
            <w:right w:w="0" w:type="dxa"/>
          </w:tblCellMar>
        </w:tblPrEx>
        <w:trPr>
          <w:trHeight w:val="556" w:hRule="atLeast"/>
        </w:trPr>
        <w:tc>
          <w:tcPr>
            <w:tcW w:w="777"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ind w:right="115"/>
              <w:jc w:val="center"/>
              <w:rPr>
                <w:rFonts w:ascii="Arial" w:hAnsi="Arial" w:eastAsia="宋体" w:cs="Arial"/>
                <w:kern w:val="0"/>
                <w:sz w:val="36"/>
                <w:szCs w:val="36"/>
              </w:rPr>
            </w:pPr>
            <w:r>
              <w:rPr>
                <w:rFonts w:hint="eastAsia" w:ascii="Arial" w:hAnsi="微软雅黑" w:eastAsia="微软雅黑" w:cs="Arial"/>
                <w:color w:val="000000"/>
                <w:sz w:val="16"/>
                <w:szCs w:val="16"/>
              </w:rPr>
              <w:t>实践环节</w:t>
            </w:r>
          </w:p>
        </w:tc>
        <w:tc>
          <w:tcPr>
            <w:tcW w:w="837"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rPr>
                <w:rFonts w:ascii="Arial" w:hAnsi="Arial" w:eastAsia="宋体" w:cs="Arial"/>
                <w:kern w:val="0"/>
                <w:sz w:val="36"/>
                <w:szCs w:val="36"/>
              </w:rPr>
            </w:pPr>
            <w:r>
              <w:rPr>
                <w:rFonts w:ascii="Arial" w:hAnsi="Arial" w:eastAsia="微软雅黑" w:cs="Arial"/>
                <w:color w:val="000000"/>
                <w:sz w:val="16"/>
                <w:szCs w:val="16"/>
              </w:rPr>
              <w:t> G19000024</w:t>
            </w:r>
          </w:p>
        </w:tc>
        <w:tc>
          <w:tcPr>
            <w:tcW w:w="1049"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ind w:right="115"/>
              <w:jc w:val="center"/>
              <w:rPr>
                <w:rFonts w:ascii="Arial" w:hAnsi="Arial" w:eastAsia="宋体" w:cs="Arial"/>
                <w:kern w:val="0"/>
                <w:sz w:val="36"/>
                <w:szCs w:val="36"/>
              </w:rPr>
            </w:pPr>
            <w:r>
              <w:rPr>
                <w:rFonts w:hint="eastAsia" w:ascii="Arial" w:hAnsi="微软雅黑" w:eastAsia="微软雅黑" w:cs="Arial"/>
                <w:color w:val="000000"/>
                <w:sz w:val="16"/>
                <w:szCs w:val="16"/>
              </w:rPr>
              <w:t>实践活动</w:t>
            </w:r>
          </w:p>
        </w:tc>
        <w:tc>
          <w:tcPr>
            <w:tcW w:w="490"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spacing w:line="400" w:lineRule="exact"/>
              <w:jc w:val="center"/>
              <w:rPr>
                <w:rFonts w:ascii="Arial" w:hAnsi="Arial" w:eastAsia="宋体" w:cs="Arial"/>
                <w:kern w:val="0"/>
                <w:sz w:val="36"/>
                <w:szCs w:val="36"/>
              </w:rPr>
            </w:pPr>
            <w:r>
              <w:rPr>
                <w:rFonts w:ascii="Arial" w:hAnsi="Arial" w:eastAsia="微软雅黑" w:cs="Arial"/>
                <w:color w:val="000000"/>
                <w:sz w:val="16"/>
                <w:szCs w:val="16"/>
              </w:rPr>
              <w:t>1</w:t>
            </w:r>
          </w:p>
        </w:tc>
        <w:tc>
          <w:tcPr>
            <w:tcW w:w="645"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spacing w:line="400" w:lineRule="exact"/>
              <w:jc w:val="center"/>
              <w:rPr>
                <w:rFonts w:ascii="Arial" w:hAnsi="Arial" w:eastAsia="宋体" w:cs="Arial"/>
                <w:kern w:val="0"/>
                <w:sz w:val="36"/>
                <w:szCs w:val="36"/>
              </w:rPr>
            </w:pPr>
            <w:r>
              <w:rPr>
                <w:rFonts w:hint="eastAsia" w:ascii="Arial" w:hAnsi="微软雅黑" w:eastAsia="微软雅黑" w:cs="Arial"/>
                <w:color w:val="000000"/>
                <w:sz w:val="16"/>
                <w:szCs w:val="16"/>
              </w:rPr>
              <w:t>第</w:t>
            </w:r>
            <w:r>
              <w:rPr>
                <w:rFonts w:ascii="Arial" w:hAnsi="Arial" w:eastAsia="微软雅黑" w:cs="Arial"/>
                <w:color w:val="000000"/>
                <w:sz w:val="16"/>
                <w:szCs w:val="16"/>
              </w:rPr>
              <w:t>5</w:t>
            </w:r>
            <w:r>
              <w:rPr>
                <w:rFonts w:hint="eastAsia" w:ascii="Arial" w:hAnsi="微软雅黑" w:eastAsia="微软雅黑" w:cs="Arial"/>
                <w:color w:val="000000"/>
                <w:sz w:val="16"/>
                <w:szCs w:val="16"/>
              </w:rPr>
              <w:t>学期进行</w:t>
            </w:r>
          </w:p>
        </w:tc>
        <w:tc>
          <w:tcPr>
            <w:tcW w:w="587"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612" w:type="pct"/>
            <w:tcBorders>
              <w:top w:val="single" w:color="58B6E5" w:sz="4" w:space="0"/>
              <w:left w:val="single" w:color="58B6E5" w:sz="4" w:space="0"/>
              <w:bottom w:val="single" w:color="58B6E5" w:sz="4" w:space="0"/>
              <w:right w:val="single" w:color="58B6E5" w:sz="4" w:space="0"/>
            </w:tcBorders>
            <w:shd w:val="clear" w:color="auto" w:fill="auto"/>
            <w:tcMar>
              <w:top w:w="15" w:type="dxa"/>
              <w:left w:w="46" w:type="dxa"/>
              <w:bottom w:w="0" w:type="dxa"/>
              <w:right w:w="46" w:type="dxa"/>
            </w:tcMar>
            <w:vAlign w:val="center"/>
          </w:tcPr>
          <w:p>
            <w:pPr>
              <w:widowControl/>
              <w:jc w:val="center"/>
              <w:rPr>
                <w:rFonts w:hint="eastAsia" w:ascii="Arial" w:hAnsi="微软雅黑" w:eastAsia="微软雅黑" w:cs="Arial"/>
                <w:color w:val="000000"/>
                <w:sz w:val="16"/>
                <w:szCs w:val="16"/>
                <w:lang w:eastAsia="zh-CN"/>
              </w:rPr>
            </w:pPr>
            <w:r>
              <w:rPr>
                <w:rFonts w:hint="eastAsia" w:ascii="Arial" w:hAnsi="微软雅黑" w:eastAsia="微软雅黑" w:cs="Arial"/>
                <w:color w:val="000000"/>
                <w:sz w:val="16"/>
                <w:szCs w:val="16"/>
                <w:lang w:eastAsia="zh-CN"/>
              </w:rPr>
              <w:t>课程学习</w:t>
            </w:r>
          </w:p>
          <w:p>
            <w:pPr>
              <w:widowControl/>
              <w:jc w:val="center"/>
              <w:rPr>
                <w:rFonts w:hint="eastAsia" w:ascii="Arial" w:hAnsi="Arial" w:eastAsia="宋体" w:cs="Arial"/>
                <w:kern w:val="0"/>
                <w:sz w:val="36"/>
                <w:szCs w:val="36"/>
                <w:lang w:eastAsia="zh-CN"/>
              </w:rPr>
            </w:pPr>
            <w:r>
              <w:rPr>
                <w:rFonts w:hint="eastAsia" w:ascii="Arial" w:hAnsi="微软雅黑" w:eastAsia="微软雅黑" w:cs="Arial"/>
                <w:color w:val="000000"/>
                <w:sz w:val="16"/>
                <w:szCs w:val="16"/>
                <w:lang w:eastAsia="zh-CN"/>
              </w:rPr>
              <w:t>阶段</w:t>
            </w:r>
          </w:p>
        </w:tc>
      </w:tr>
      <w:tr>
        <w:tblPrEx>
          <w:tblCellMar>
            <w:top w:w="0" w:type="dxa"/>
            <w:left w:w="0" w:type="dxa"/>
            <w:bottom w:w="0" w:type="dxa"/>
            <w:right w:w="0" w:type="dxa"/>
          </w:tblCellMar>
        </w:tblPrEx>
        <w:trPr>
          <w:trHeight w:val="1359" w:hRule="atLeast"/>
        </w:trPr>
        <w:tc>
          <w:tcPr>
            <w:tcW w:w="777"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ind w:right="115" w:firstLine="101"/>
              <w:jc w:val="center"/>
              <w:rPr>
                <w:rFonts w:ascii="Arial" w:hAnsi="Arial" w:eastAsia="宋体" w:cs="Arial"/>
                <w:kern w:val="0"/>
                <w:sz w:val="36"/>
                <w:szCs w:val="36"/>
              </w:rPr>
            </w:pPr>
            <w:r>
              <w:rPr>
                <w:rFonts w:hint="eastAsia" w:ascii="Arial" w:hAnsi="微软雅黑" w:eastAsia="微软雅黑" w:cs="Arial"/>
                <w:color w:val="000000"/>
                <w:kern w:val="0"/>
                <w:sz w:val="16"/>
                <w:szCs w:val="16"/>
              </w:rPr>
              <w:t>学术活动</w:t>
            </w:r>
          </w:p>
        </w:tc>
        <w:tc>
          <w:tcPr>
            <w:tcW w:w="837"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left"/>
              <w:rPr>
                <w:rFonts w:ascii="Arial" w:hAnsi="Arial" w:eastAsia="宋体" w:cs="Arial"/>
                <w:kern w:val="0"/>
                <w:sz w:val="36"/>
                <w:szCs w:val="36"/>
              </w:rPr>
            </w:pPr>
            <w:r>
              <w:rPr>
                <w:rFonts w:ascii="Arial" w:hAnsi="Arial" w:eastAsia="微软雅黑" w:cs="Arial"/>
                <w:color w:val="000000"/>
                <w:sz w:val="16"/>
                <w:szCs w:val="16"/>
              </w:rPr>
              <w:t> </w:t>
            </w:r>
          </w:p>
        </w:tc>
        <w:tc>
          <w:tcPr>
            <w:tcW w:w="1049"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rPr>
              <w:t>学术活动的主要形式包括听学术报告、专家讲座，参加学术会议、参加学校或省级研究生论坛报告会、研讨等</w:t>
            </w:r>
          </w:p>
        </w:tc>
        <w:tc>
          <w:tcPr>
            <w:tcW w:w="490"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 </w:t>
            </w:r>
          </w:p>
        </w:tc>
        <w:tc>
          <w:tcPr>
            <w:tcW w:w="645"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left"/>
              <w:rPr>
                <w:rFonts w:ascii="Arial" w:hAnsi="Arial" w:eastAsia="宋体" w:cs="Arial"/>
                <w:kern w:val="0"/>
                <w:sz w:val="36"/>
                <w:szCs w:val="36"/>
              </w:rPr>
            </w:pPr>
            <w:r>
              <w:rPr>
                <w:rFonts w:hint="eastAsia" w:ascii="Arial" w:hAnsi="微软雅黑" w:eastAsia="微软雅黑" w:cs="Arial"/>
                <w:color w:val="000000"/>
                <w:sz w:val="16"/>
                <w:szCs w:val="16"/>
              </w:rPr>
              <w:t>须参加学术活动</w:t>
            </w:r>
            <w:r>
              <w:rPr>
                <w:rFonts w:ascii="Arial" w:hAnsi="Arial" w:eastAsia="微软雅黑" w:cs="Arial"/>
                <w:color w:val="000000"/>
                <w:sz w:val="16"/>
                <w:szCs w:val="16"/>
              </w:rPr>
              <w:t>10</w:t>
            </w:r>
            <w:r>
              <w:rPr>
                <w:rFonts w:hint="eastAsia" w:ascii="Arial" w:hAnsi="微软雅黑" w:eastAsia="微软雅黑" w:cs="Arial"/>
                <w:color w:val="000000"/>
                <w:sz w:val="16"/>
                <w:szCs w:val="16"/>
              </w:rPr>
              <w:t>次以上，其中本人主讲报告至少一次</w:t>
            </w:r>
          </w:p>
        </w:tc>
        <w:tc>
          <w:tcPr>
            <w:tcW w:w="587"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ascii="Arial" w:hAnsi="Arial" w:eastAsia="宋体" w:cs="Arial"/>
                <w:kern w:val="0"/>
                <w:sz w:val="36"/>
                <w:szCs w:val="36"/>
              </w:rPr>
            </w:pPr>
            <w:r>
              <w:rPr>
                <w:rFonts w:ascii="Arial" w:hAnsi="Arial" w:eastAsia="微软雅黑" w:cs="Arial"/>
                <w:color w:val="000000"/>
                <w:sz w:val="16"/>
                <w:szCs w:val="16"/>
              </w:rPr>
              <w:t>*</w:t>
            </w:r>
            <w:r>
              <w:rPr>
                <w:rFonts w:hint="eastAsia" w:ascii="Arial" w:hAnsi="微软雅黑" w:eastAsia="微软雅黑" w:cs="Arial"/>
                <w:color w:val="000000"/>
                <w:sz w:val="16"/>
                <w:szCs w:val="16"/>
              </w:rPr>
              <w:t>必修</w:t>
            </w:r>
            <w:r>
              <w:rPr>
                <w:rFonts w:ascii="Arial" w:hAnsi="Arial" w:eastAsia="微软雅黑" w:cs="Arial"/>
                <w:color w:val="000000"/>
                <w:sz w:val="16"/>
                <w:szCs w:val="16"/>
              </w:rPr>
              <w:t>*</w:t>
            </w:r>
          </w:p>
        </w:tc>
        <w:tc>
          <w:tcPr>
            <w:tcW w:w="612" w:type="pct"/>
            <w:tcBorders>
              <w:top w:val="single" w:color="58B6E5" w:sz="4" w:space="0"/>
              <w:left w:val="single" w:color="58B6E5" w:sz="4" w:space="0"/>
              <w:bottom w:val="single" w:color="58B6E5" w:sz="4" w:space="0"/>
              <w:right w:val="single" w:color="58B6E5" w:sz="4" w:space="0"/>
            </w:tcBorders>
            <w:shd w:val="clear" w:color="auto" w:fill="DCEDF5"/>
            <w:tcMar>
              <w:top w:w="15" w:type="dxa"/>
              <w:left w:w="46" w:type="dxa"/>
              <w:bottom w:w="0" w:type="dxa"/>
              <w:right w:w="46" w:type="dxa"/>
            </w:tcMar>
            <w:vAlign w:val="center"/>
          </w:tcPr>
          <w:p>
            <w:pPr>
              <w:widowControl/>
              <w:jc w:val="center"/>
              <w:rPr>
                <w:rFonts w:hint="eastAsia" w:ascii="Arial" w:hAnsi="微软雅黑" w:eastAsia="微软雅黑" w:cs="Arial"/>
                <w:color w:val="000000"/>
                <w:sz w:val="16"/>
                <w:szCs w:val="16"/>
                <w:lang w:eastAsia="zh-CN"/>
              </w:rPr>
            </w:pPr>
            <w:r>
              <w:rPr>
                <w:rFonts w:hint="eastAsia" w:ascii="Arial" w:hAnsi="微软雅黑" w:eastAsia="微软雅黑" w:cs="Arial"/>
                <w:color w:val="000000"/>
                <w:sz w:val="16"/>
                <w:szCs w:val="16"/>
                <w:lang w:eastAsia="zh-CN"/>
              </w:rPr>
              <w:t>课程学习</w:t>
            </w:r>
          </w:p>
          <w:p>
            <w:pPr>
              <w:widowControl/>
              <w:jc w:val="center"/>
              <w:rPr>
                <w:rFonts w:ascii="Arial" w:hAnsi="Arial" w:eastAsia="宋体" w:cs="Arial"/>
                <w:kern w:val="0"/>
                <w:sz w:val="36"/>
                <w:szCs w:val="36"/>
              </w:rPr>
            </w:pPr>
            <w:r>
              <w:rPr>
                <w:rFonts w:hint="eastAsia" w:ascii="Arial" w:hAnsi="微软雅黑" w:eastAsia="微软雅黑" w:cs="Arial"/>
                <w:color w:val="000000"/>
                <w:sz w:val="16"/>
                <w:szCs w:val="16"/>
                <w:lang w:eastAsia="zh-CN"/>
              </w:rPr>
              <w:t>阶段</w:t>
            </w:r>
          </w:p>
        </w:tc>
      </w:tr>
    </w:tbl>
    <w:p>
      <w:pPr>
        <w:widowControl/>
        <w:spacing w:line="504" w:lineRule="atLeast"/>
        <w:ind w:firstLine="480"/>
        <w:jc w:val="center"/>
        <w:rPr>
          <w:rFonts w:hint="eastAsia" w:ascii="黑体" w:hAnsi="黑体" w:eastAsia="黑体" w:cs="宋体"/>
          <w:b/>
          <w:bCs/>
          <w:color w:val="585858"/>
          <w:kern w:val="0"/>
          <w:sz w:val="28"/>
          <w:szCs w:val="28"/>
        </w:rPr>
      </w:pP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※申请条件※</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一、遵守法律、法规，品行端正；</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二、已获得学士学位</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※学习年限及收费※</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一、同等学力申请硕士学位分为两个阶段：课程学习阶段（简称第一阶段）和撰写学位论文及答辩阶段（简称第二阶段）。申请人自通过资格审查之日起，须在八年内完成两个阶段的学习。</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二、第一阶段：申请人自通过资格审查之日起，1-2年</w:t>
      </w:r>
      <w:r>
        <w:rPr>
          <w:rFonts w:ascii="仿宋" w:hAnsi="仿宋" w:eastAsia="仿宋" w:cs="宋体"/>
          <w:color w:val="auto"/>
          <w:kern w:val="0"/>
          <w:sz w:val="28"/>
          <w:szCs w:val="28"/>
        </w:rPr>
        <w:t>内</w:t>
      </w:r>
      <w:r>
        <w:rPr>
          <w:rFonts w:hint="eastAsia" w:ascii="仿宋" w:hAnsi="仿宋" w:eastAsia="仿宋" w:cs="宋体"/>
          <w:color w:val="auto"/>
          <w:kern w:val="0"/>
          <w:sz w:val="28"/>
          <w:szCs w:val="28"/>
        </w:rPr>
        <w:t>完成学校组织的全部课程考试，</w:t>
      </w:r>
      <w:r>
        <w:rPr>
          <w:rFonts w:ascii="仿宋" w:hAnsi="仿宋" w:eastAsia="仿宋" w:cs="宋体"/>
          <w:color w:val="auto"/>
          <w:kern w:val="0"/>
          <w:sz w:val="28"/>
          <w:szCs w:val="28"/>
        </w:rPr>
        <w:t>并在</w:t>
      </w:r>
      <w:r>
        <w:rPr>
          <w:rFonts w:hint="eastAsia" w:ascii="仿宋" w:hAnsi="仿宋" w:eastAsia="仿宋" w:cs="宋体"/>
          <w:color w:val="auto"/>
          <w:kern w:val="0"/>
          <w:sz w:val="28"/>
          <w:szCs w:val="28"/>
        </w:rPr>
        <w:t>6年</w:t>
      </w:r>
      <w:r>
        <w:rPr>
          <w:rFonts w:ascii="仿宋" w:hAnsi="仿宋" w:eastAsia="仿宋" w:cs="宋体"/>
          <w:color w:val="auto"/>
          <w:kern w:val="0"/>
          <w:sz w:val="28"/>
          <w:szCs w:val="28"/>
        </w:rPr>
        <w:t>内</w:t>
      </w:r>
      <w:r>
        <w:rPr>
          <w:rFonts w:hint="eastAsia" w:ascii="仿宋" w:hAnsi="仿宋" w:eastAsia="仿宋" w:cs="宋体"/>
          <w:color w:val="auto"/>
          <w:kern w:val="0"/>
          <w:sz w:val="28"/>
          <w:szCs w:val="28"/>
        </w:rPr>
        <w:t>通</w:t>
      </w:r>
      <w:r>
        <w:rPr>
          <w:rFonts w:ascii="仿宋" w:hAnsi="仿宋" w:eastAsia="仿宋" w:cs="宋体"/>
          <w:color w:val="auto"/>
          <w:kern w:val="0"/>
          <w:sz w:val="28"/>
          <w:szCs w:val="28"/>
        </w:rPr>
        <w:t>过</w:t>
      </w:r>
      <w:r>
        <w:rPr>
          <w:rFonts w:hint="eastAsia" w:ascii="仿宋" w:hAnsi="仿宋" w:eastAsia="仿宋" w:cs="宋体"/>
          <w:color w:val="auto"/>
          <w:kern w:val="0"/>
          <w:sz w:val="28"/>
          <w:szCs w:val="28"/>
        </w:rPr>
        <w:t>国家组织的</w:t>
      </w:r>
      <w:r>
        <w:rPr>
          <w:rFonts w:hint="eastAsia" w:ascii="仿宋" w:hAnsi="仿宋" w:eastAsia="仿宋" w:cs="宋体"/>
          <w:color w:val="auto"/>
          <w:kern w:val="0"/>
          <w:sz w:val="28"/>
          <w:szCs w:val="28"/>
          <w:lang w:eastAsia="zh-CN"/>
        </w:rPr>
        <w:t>外国语</w:t>
      </w:r>
      <w:r>
        <w:rPr>
          <w:rFonts w:hint="eastAsia" w:ascii="仿宋" w:hAnsi="仿宋" w:eastAsia="仿宋" w:cs="宋体"/>
          <w:color w:val="auto"/>
          <w:kern w:val="0"/>
          <w:sz w:val="28"/>
          <w:szCs w:val="28"/>
        </w:rPr>
        <w:t>水平考试，且成绩合格。未通过课程考试和国家组织的水平考试者，本次申请无效。</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三、第二阶段：申请人通过学位授予单位组织的全部课程考试和国家组织的水平考试后，完成学位论文的开题、撰写和答辩。</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四、收费标准：</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第一阶段：课</w:t>
      </w:r>
      <w:r>
        <w:rPr>
          <w:rFonts w:ascii="仿宋" w:hAnsi="仿宋" w:eastAsia="仿宋" w:cs="宋体"/>
          <w:color w:val="auto"/>
          <w:kern w:val="0"/>
          <w:sz w:val="28"/>
          <w:szCs w:val="28"/>
        </w:rPr>
        <w:t>程学习培养费</w:t>
      </w:r>
      <w:r>
        <w:rPr>
          <w:rFonts w:hint="eastAsia" w:ascii="仿宋" w:hAnsi="仿宋" w:eastAsia="仿宋" w:cs="宋体"/>
          <w:color w:val="auto"/>
          <w:kern w:val="0"/>
          <w:sz w:val="28"/>
          <w:szCs w:val="28"/>
        </w:rPr>
        <w:t>22000元</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第二阶段：学</w:t>
      </w:r>
      <w:r>
        <w:rPr>
          <w:rFonts w:ascii="仿宋" w:hAnsi="仿宋" w:eastAsia="仿宋" w:cs="宋体"/>
          <w:color w:val="auto"/>
          <w:kern w:val="0"/>
          <w:sz w:val="28"/>
          <w:szCs w:val="28"/>
        </w:rPr>
        <w:t>位申请费</w:t>
      </w:r>
      <w:r>
        <w:rPr>
          <w:rFonts w:hint="eastAsia" w:ascii="仿宋" w:hAnsi="仿宋" w:eastAsia="仿宋" w:cs="宋体"/>
          <w:color w:val="auto"/>
          <w:kern w:val="0"/>
          <w:sz w:val="28"/>
          <w:szCs w:val="28"/>
        </w:rPr>
        <w:t>12000元</w:t>
      </w:r>
    </w:p>
    <w:p>
      <w:pPr>
        <w:snapToGrid w:val="0"/>
        <w:spacing w:line="408" w:lineRule="auto"/>
        <w:ind w:firstLine="560" w:firstLineChars="200"/>
        <w:jc w:val="left"/>
        <w:rPr>
          <w:rFonts w:ascii="仿宋" w:hAnsi="仿宋" w:eastAsia="仿宋" w:cs="宋体"/>
          <w:b/>
          <w:color w:val="auto"/>
          <w:kern w:val="0"/>
          <w:sz w:val="28"/>
          <w:szCs w:val="28"/>
        </w:rPr>
      </w:pPr>
      <w:r>
        <w:rPr>
          <w:rFonts w:ascii="仿宋" w:hAnsi="仿宋" w:eastAsia="仿宋" w:cs="宋体"/>
          <w:color w:val="auto"/>
          <w:kern w:val="0"/>
          <w:sz w:val="28"/>
          <w:szCs w:val="28"/>
        </w:rPr>
        <w:t>申请人须按时缴纳学费</w:t>
      </w:r>
      <w:r>
        <w:rPr>
          <w:rFonts w:hint="eastAsia" w:ascii="仿宋" w:hAnsi="仿宋" w:eastAsia="仿宋" w:cs="宋体"/>
          <w:color w:val="auto"/>
          <w:kern w:val="0"/>
          <w:sz w:val="28"/>
          <w:szCs w:val="28"/>
        </w:rPr>
        <w:t>到</w:t>
      </w:r>
      <w:r>
        <w:rPr>
          <w:rFonts w:ascii="仿宋" w:hAnsi="仿宋" w:eastAsia="仿宋" w:cs="宋体"/>
          <w:color w:val="auto"/>
          <w:kern w:val="0"/>
          <w:sz w:val="28"/>
          <w:szCs w:val="28"/>
        </w:rPr>
        <w:t>学校财务</w:t>
      </w:r>
      <w:r>
        <w:rPr>
          <w:rFonts w:hint="eastAsia" w:ascii="仿宋" w:hAnsi="仿宋" w:eastAsia="仿宋" w:cs="宋体"/>
          <w:color w:val="auto"/>
          <w:kern w:val="0"/>
          <w:sz w:val="28"/>
          <w:szCs w:val="28"/>
        </w:rPr>
        <w:t>账</w:t>
      </w:r>
      <w:r>
        <w:rPr>
          <w:rFonts w:ascii="仿宋" w:hAnsi="仿宋" w:eastAsia="仿宋" w:cs="宋体"/>
          <w:color w:val="auto"/>
          <w:kern w:val="0"/>
          <w:sz w:val="28"/>
          <w:szCs w:val="28"/>
        </w:rPr>
        <w:t>号，具体收费标准以当年度审批备案标准为准。</w:t>
      </w:r>
      <w:r>
        <w:rPr>
          <w:rFonts w:hint="eastAsia" w:ascii="仿宋" w:hAnsi="仿宋" w:eastAsia="仿宋" w:cs="宋体"/>
          <w:color w:val="auto"/>
          <w:kern w:val="0"/>
          <w:sz w:val="28"/>
          <w:szCs w:val="28"/>
        </w:rPr>
        <w:t>学</w:t>
      </w:r>
      <w:r>
        <w:rPr>
          <w:rFonts w:ascii="仿宋" w:hAnsi="仿宋" w:eastAsia="仿宋" w:cs="宋体"/>
          <w:color w:val="auto"/>
          <w:kern w:val="0"/>
          <w:sz w:val="28"/>
          <w:szCs w:val="28"/>
        </w:rPr>
        <w:t>位申请</w:t>
      </w:r>
      <w:r>
        <w:rPr>
          <w:rFonts w:hint="eastAsia" w:ascii="仿宋" w:hAnsi="仿宋" w:eastAsia="仿宋" w:cs="宋体"/>
          <w:color w:val="auto"/>
          <w:kern w:val="0"/>
          <w:sz w:val="28"/>
          <w:szCs w:val="28"/>
        </w:rPr>
        <w:t>费在通过学位相关考试进入论文写作环节时交清。</w:t>
      </w:r>
      <w:r>
        <w:rPr>
          <w:rFonts w:hint="eastAsia" w:ascii="仿宋" w:hAnsi="仿宋" w:eastAsia="仿宋" w:cs="宋体"/>
          <w:b/>
          <w:color w:val="auto"/>
          <w:kern w:val="0"/>
          <w:sz w:val="28"/>
          <w:szCs w:val="28"/>
        </w:rPr>
        <w:t>学</w:t>
      </w:r>
      <w:r>
        <w:rPr>
          <w:rFonts w:ascii="仿宋" w:hAnsi="仿宋" w:eastAsia="仿宋" w:cs="宋体"/>
          <w:b/>
          <w:color w:val="auto"/>
          <w:kern w:val="0"/>
          <w:sz w:val="28"/>
          <w:szCs w:val="28"/>
        </w:rPr>
        <w:t>校未委托任何第三方机构或个人代理本项目招生、培训及收费等事宜</w:t>
      </w:r>
      <w:r>
        <w:rPr>
          <w:rFonts w:hint="eastAsia" w:ascii="仿宋" w:hAnsi="仿宋" w:eastAsia="仿宋" w:cs="宋体"/>
          <w:b/>
          <w:color w:val="auto"/>
          <w:kern w:val="0"/>
          <w:sz w:val="28"/>
          <w:szCs w:val="28"/>
        </w:rPr>
        <w:t>，所有费用一经交纳，概不退回。</w:t>
      </w:r>
    </w:p>
    <w:p>
      <w:pPr>
        <w:widowControl/>
        <w:spacing w:line="504" w:lineRule="atLeast"/>
        <w:ind w:firstLine="480"/>
        <w:jc w:val="left"/>
        <w:rPr>
          <w:rFonts w:ascii="仿宋" w:hAnsi="仿宋" w:eastAsia="仿宋" w:cs="宋体"/>
          <w:b/>
          <w:color w:val="auto"/>
          <w:kern w:val="0"/>
          <w:sz w:val="28"/>
          <w:szCs w:val="28"/>
        </w:rPr>
      </w:pPr>
    </w:p>
    <w:p>
      <w:pPr>
        <w:widowControl/>
        <w:spacing w:line="504" w:lineRule="atLeast"/>
        <w:ind w:firstLine="480"/>
        <w:jc w:val="left"/>
        <w:rPr>
          <w:rFonts w:ascii="黑体" w:hAnsi="黑体" w:eastAsia="黑体" w:cs="宋体"/>
          <w:bCs/>
          <w:color w:val="auto"/>
          <w:kern w:val="0"/>
          <w:sz w:val="28"/>
          <w:szCs w:val="28"/>
        </w:rPr>
      </w:pPr>
      <w:r>
        <w:rPr>
          <w:rFonts w:hint="eastAsia" w:ascii="仿宋" w:hAnsi="仿宋" w:eastAsia="仿宋" w:cs="宋体"/>
          <w:color w:val="auto"/>
          <w:kern w:val="0"/>
          <w:sz w:val="28"/>
          <w:szCs w:val="28"/>
        </w:rPr>
        <w:t>申请步骤和缴费方式详见《湖南科技大学2023年同等学力人员申请硕士学位招生简章》。</w:t>
      </w:r>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※颁发证书※</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1、申</w:t>
      </w:r>
      <w:r>
        <w:rPr>
          <w:rFonts w:ascii="仿宋" w:hAnsi="仿宋" w:eastAsia="仿宋" w:cs="宋体"/>
          <w:color w:val="auto"/>
          <w:kern w:val="0"/>
          <w:sz w:val="28"/>
          <w:szCs w:val="28"/>
        </w:rPr>
        <w:t>请人</w:t>
      </w:r>
      <w:r>
        <w:rPr>
          <w:rFonts w:hint="eastAsia" w:ascii="仿宋" w:hAnsi="仿宋" w:eastAsia="仿宋" w:cs="宋体"/>
          <w:color w:val="auto"/>
          <w:kern w:val="0"/>
          <w:sz w:val="28"/>
          <w:szCs w:val="28"/>
        </w:rPr>
        <w:t>在学校规定学习年限内，修完培养方案规定的全部课程，但因未能完成学位论文等原因而未获学位者，学校准予结业，发给结业证书。</w:t>
      </w:r>
    </w:p>
    <w:p>
      <w:pPr>
        <w:widowControl/>
        <w:spacing w:line="504" w:lineRule="atLeast"/>
        <w:ind w:firstLine="48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2、申请硕士学位者，参照《国务院学位委员会关于授予具有研究生毕业同等学力硕士学位的规定》要求，按</w:t>
      </w:r>
      <w:r>
        <w:rPr>
          <w:rFonts w:ascii="仿宋" w:hAnsi="仿宋" w:eastAsia="仿宋" w:cs="宋体"/>
          <w:color w:val="auto"/>
          <w:kern w:val="0"/>
          <w:sz w:val="28"/>
          <w:szCs w:val="28"/>
        </w:rPr>
        <w:t>时</w:t>
      </w:r>
      <w:r>
        <w:rPr>
          <w:rFonts w:hint="eastAsia" w:ascii="仿宋" w:hAnsi="仿宋" w:eastAsia="仿宋" w:cs="宋体"/>
          <w:color w:val="auto"/>
          <w:kern w:val="0"/>
          <w:sz w:val="28"/>
          <w:szCs w:val="28"/>
        </w:rPr>
        <w:t>通过国家统考的外语水平考试和论文答辩，按照湖南科技大学申请同等学力硕士学位的流程完成各项申请工作，经学校学位委员会评定通过，可授予</w:t>
      </w:r>
      <w:r>
        <w:rPr>
          <w:rFonts w:hint="eastAsia" w:ascii="仿宋" w:hAnsi="仿宋" w:eastAsia="仿宋" w:cs="宋体"/>
          <w:color w:val="auto"/>
          <w:kern w:val="0"/>
          <w:sz w:val="28"/>
          <w:szCs w:val="28"/>
          <w:lang w:eastAsia="zh-CN"/>
        </w:rPr>
        <w:t>教育</w:t>
      </w:r>
      <w:r>
        <w:rPr>
          <w:rFonts w:hint="eastAsia" w:ascii="仿宋" w:hAnsi="仿宋" w:eastAsia="仿宋" w:cs="宋体"/>
          <w:color w:val="auto"/>
          <w:kern w:val="0"/>
          <w:sz w:val="28"/>
          <w:szCs w:val="28"/>
        </w:rPr>
        <w:t>学硕士学位。</w:t>
      </w:r>
      <w:bookmarkStart w:id="0" w:name="_GoBack"/>
      <w:bookmarkEnd w:id="0"/>
    </w:p>
    <w:p>
      <w:pPr>
        <w:widowControl/>
        <w:spacing w:line="504" w:lineRule="atLeast"/>
        <w:ind w:firstLine="480"/>
        <w:jc w:val="center"/>
        <w:rPr>
          <w:rFonts w:ascii="黑体" w:hAnsi="黑体" w:eastAsia="黑体" w:cs="宋体"/>
          <w:b/>
          <w:bCs/>
          <w:color w:val="auto"/>
          <w:kern w:val="0"/>
          <w:sz w:val="28"/>
          <w:szCs w:val="28"/>
        </w:rPr>
      </w:pPr>
      <w:r>
        <w:rPr>
          <w:rFonts w:hint="eastAsia" w:ascii="黑体" w:hAnsi="黑体" w:eastAsia="黑体" w:cs="宋体"/>
          <w:b/>
          <w:bCs/>
          <w:color w:val="auto"/>
          <w:kern w:val="0"/>
          <w:sz w:val="28"/>
          <w:szCs w:val="28"/>
        </w:rPr>
        <w:t>※报名咨询※</w:t>
      </w:r>
    </w:p>
    <w:p>
      <w:pPr>
        <w:widowControl/>
        <w:spacing w:line="504" w:lineRule="atLeast"/>
        <w:ind w:firstLine="480"/>
        <w:jc w:val="left"/>
        <w:rPr>
          <w:rFonts w:ascii="仿宋" w:hAnsi="仿宋" w:eastAsia="仿宋" w:cs="宋体"/>
          <w:b/>
          <w:color w:val="auto"/>
          <w:kern w:val="0"/>
          <w:sz w:val="28"/>
          <w:szCs w:val="28"/>
        </w:rPr>
      </w:pPr>
      <w:r>
        <w:rPr>
          <w:rFonts w:hint="eastAsia" w:ascii="仿宋" w:hAnsi="仿宋" w:eastAsia="仿宋" w:cs="宋体"/>
          <w:b/>
          <w:color w:val="auto"/>
          <w:kern w:val="0"/>
          <w:sz w:val="28"/>
          <w:szCs w:val="28"/>
        </w:rPr>
        <w:t>地址：湖南</w:t>
      </w:r>
      <w:r>
        <w:rPr>
          <w:rFonts w:ascii="仿宋" w:hAnsi="仿宋" w:eastAsia="仿宋" w:cs="宋体"/>
          <w:b/>
          <w:color w:val="auto"/>
          <w:kern w:val="0"/>
          <w:sz w:val="28"/>
          <w:szCs w:val="28"/>
        </w:rPr>
        <w:t>科技大学</w:t>
      </w:r>
      <w:r>
        <w:rPr>
          <w:rFonts w:hint="eastAsia" w:ascii="仿宋" w:hAnsi="仿宋" w:eastAsia="仿宋" w:cs="宋体"/>
          <w:b/>
          <w:color w:val="auto"/>
          <w:kern w:val="0"/>
          <w:sz w:val="28"/>
          <w:szCs w:val="28"/>
          <w:lang w:eastAsia="zh-CN"/>
        </w:rPr>
        <w:t>体育楼</w:t>
      </w:r>
      <w:r>
        <w:rPr>
          <w:rFonts w:hint="eastAsia" w:ascii="仿宋" w:hAnsi="仿宋" w:eastAsia="仿宋" w:cs="宋体"/>
          <w:b/>
          <w:color w:val="auto"/>
          <w:kern w:val="0"/>
          <w:sz w:val="28"/>
          <w:szCs w:val="28"/>
          <w:lang w:val="en-US" w:eastAsia="zh-CN"/>
        </w:rPr>
        <w:t>311</w:t>
      </w:r>
      <w:r>
        <w:rPr>
          <w:rFonts w:hint="eastAsia" w:ascii="仿宋" w:hAnsi="仿宋" w:eastAsia="仿宋" w:cs="宋体"/>
          <w:b/>
          <w:color w:val="auto"/>
          <w:kern w:val="0"/>
          <w:sz w:val="28"/>
          <w:szCs w:val="28"/>
        </w:rPr>
        <w:t>办</w:t>
      </w:r>
      <w:r>
        <w:rPr>
          <w:rFonts w:ascii="仿宋" w:hAnsi="仿宋" w:eastAsia="仿宋" w:cs="宋体"/>
          <w:b/>
          <w:color w:val="auto"/>
          <w:kern w:val="0"/>
          <w:sz w:val="28"/>
          <w:szCs w:val="28"/>
        </w:rPr>
        <w:t>公室</w:t>
      </w:r>
    </w:p>
    <w:p>
      <w:pPr>
        <w:widowControl/>
        <w:spacing w:line="504" w:lineRule="atLeast"/>
        <w:ind w:firstLine="480"/>
        <w:jc w:val="left"/>
        <w:rPr>
          <w:rFonts w:hint="eastAsia" w:ascii="仿宋" w:hAnsi="仿宋" w:eastAsia="仿宋" w:cs="宋体"/>
          <w:b/>
          <w:color w:val="auto"/>
          <w:kern w:val="0"/>
          <w:sz w:val="28"/>
          <w:szCs w:val="28"/>
          <w:lang w:eastAsia="zh-CN"/>
        </w:rPr>
      </w:pPr>
      <w:r>
        <w:rPr>
          <w:rFonts w:hint="eastAsia" w:ascii="仿宋" w:hAnsi="仿宋" w:eastAsia="仿宋" w:cs="宋体"/>
          <w:b/>
          <w:color w:val="auto"/>
          <w:kern w:val="0"/>
          <w:sz w:val="28"/>
          <w:szCs w:val="28"/>
        </w:rPr>
        <w:t>联系人：</w:t>
      </w:r>
      <w:r>
        <w:rPr>
          <w:rFonts w:hint="eastAsia" w:ascii="仿宋" w:hAnsi="仿宋" w:eastAsia="仿宋" w:cs="宋体"/>
          <w:b/>
          <w:color w:val="auto"/>
          <w:kern w:val="0"/>
          <w:sz w:val="28"/>
          <w:szCs w:val="28"/>
          <w:lang w:eastAsia="zh-CN"/>
        </w:rPr>
        <w:t>周福建</w:t>
      </w:r>
    </w:p>
    <w:p>
      <w:pPr>
        <w:widowControl/>
        <w:spacing w:line="504" w:lineRule="atLeast"/>
        <w:ind w:firstLine="480"/>
        <w:jc w:val="left"/>
        <w:rPr>
          <w:rFonts w:hint="eastAsia" w:ascii="仿宋" w:hAnsi="仿宋" w:eastAsia="仿宋" w:cs="宋体"/>
          <w:b/>
          <w:color w:val="auto"/>
          <w:kern w:val="0"/>
          <w:sz w:val="28"/>
          <w:szCs w:val="28"/>
          <w:lang w:val="en-US" w:eastAsia="zh-CN"/>
        </w:rPr>
      </w:pPr>
      <w:r>
        <w:rPr>
          <w:rFonts w:hint="eastAsia" w:ascii="仿宋" w:hAnsi="仿宋" w:eastAsia="仿宋" w:cs="宋体"/>
          <w:b/>
          <w:color w:val="auto"/>
          <w:kern w:val="0"/>
          <w:sz w:val="28"/>
          <w:szCs w:val="28"/>
        </w:rPr>
        <w:t>手机：1</w:t>
      </w:r>
      <w:r>
        <w:rPr>
          <w:rFonts w:hint="eastAsia" w:ascii="仿宋" w:hAnsi="仿宋" w:eastAsia="仿宋" w:cs="宋体"/>
          <w:b/>
          <w:color w:val="auto"/>
          <w:kern w:val="0"/>
          <w:sz w:val="28"/>
          <w:szCs w:val="28"/>
          <w:lang w:val="en-US" w:eastAsia="zh-CN"/>
        </w:rPr>
        <w:t>3237326980</w:t>
      </w:r>
    </w:p>
    <w:p>
      <w:pPr>
        <w:widowControl/>
        <w:spacing w:line="504" w:lineRule="atLeast"/>
        <w:ind w:firstLine="480"/>
        <w:jc w:val="left"/>
        <w:rPr>
          <w:rFonts w:hint="default" w:ascii="仿宋" w:hAnsi="仿宋" w:eastAsia="仿宋" w:cs="宋体"/>
          <w:b/>
          <w:color w:val="auto"/>
          <w:kern w:val="0"/>
          <w:sz w:val="28"/>
          <w:szCs w:val="28"/>
          <w:lang w:val="en-US" w:eastAsia="zh-CN"/>
        </w:rPr>
      </w:pPr>
      <w:r>
        <w:rPr>
          <w:rFonts w:hint="eastAsia" w:ascii="仿宋" w:hAnsi="仿宋" w:eastAsia="仿宋" w:cs="宋体"/>
          <w:b/>
          <w:color w:val="auto"/>
          <w:kern w:val="0"/>
          <w:sz w:val="28"/>
          <w:szCs w:val="28"/>
        </w:rPr>
        <w:t>座机：0731-5829</w:t>
      </w:r>
      <w:r>
        <w:rPr>
          <w:rFonts w:hint="eastAsia" w:ascii="仿宋" w:hAnsi="仿宋" w:eastAsia="仿宋" w:cs="宋体"/>
          <w:b/>
          <w:color w:val="auto"/>
          <w:kern w:val="0"/>
          <w:sz w:val="28"/>
          <w:szCs w:val="28"/>
          <w:lang w:val="en-US" w:eastAsia="zh-CN"/>
        </w:rPr>
        <w:t>1071</w:t>
      </w:r>
    </w:p>
    <w:p>
      <w:pPr>
        <w:widowControl/>
        <w:spacing w:line="504" w:lineRule="atLeast"/>
        <w:ind w:firstLine="480"/>
        <w:jc w:val="left"/>
        <w:rPr>
          <w:rFonts w:ascii="仿宋" w:hAnsi="仿宋" w:eastAsia="仿宋" w:cs="宋体"/>
          <w:b/>
          <w:color w:val="auto"/>
          <w:kern w:val="0"/>
          <w:sz w:val="28"/>
          <w:szCs w:val="28"/>
        </w:rPr>
      </w:pPr>
    </w:p>
    <w:p>
      <w:pPr>
        <w:widowControl/>
        <w:spacing w:line="504" w:lineRule="atLeast"/>
        <w:ind w:firstLine="480"/>
        <w:jc w:val="left"/>
        <w:rPr>
          <w:rFonts w:hint="eastAsia" w:ascii="仿宋" w:hAnsi="仿宋" w:eastAsia="仿宋" w:cs="宋体"/>
          <w:b/>
          <w:color w:val="auto"/>
          <w:kern w:val="0"/>
          <w:sz w:val="28"/>
          <w:szCs w:val="28"/>
          <w:lang w:eastAsia="zh-CN"/>
        </w:rPr>
      </w:pPr>
      <w:r>
        <w:rPr>
          <w:rFonts w:hint="eastAsia" w:ascii="仿宋" w:hAnsi="仿宋" w:eastAsia="仿宋" w:cs="宋体"/>
          <w:b/>
          <w:color w:val="auto"/>
          <w:kern w:val="0"/>
          <w:sz w:val="28"/>
          <w:szCs w:val="28"/>
        </w:rPr>
        <w:t>负责人：</w:t>
      </w:r>
      <w:r>
        <w:rPr>
          <w:rFonts w:hint="eastAsia" w:ascii="仿宋" w:hAnsi="仿宋" w:eastAsia="仿宋" w:cs="宋体"/>
          <w:b/>
          <w:color w:val="auto"/>
          <w:kern w:val="0"/>
          <w:sz w:val="28"/>
          <w:szCs w:val="28"/>
          <w:lang w:eastAsia="zh-CN"/>
        </w:rPr>
        <w:t>蒋宏宇</w:t>
      </w:r>
    </w:p>
    <w:p>
      <w:pPr>
        <w:widowControl/>
        <w:spacing w:line="504" w:lineRule="atLeast"/>
        <w:ind w:firstLine="480"/>
        <w:jc w:val="left"/>
        <w:rPr>
          <w:rFonts w:hint="default" w:ascii="仿宋" w:hAnsi="仿宋" w:eastAsia="仿宋" w:cs="宋体"/>
          <w:b/>
          <w:color w:val="auto"/>
          <w:kern w:val="0"/>
          <w:sz w:val="28"/>
          <w:szCs w:val="28"/>
          <w:lang w:val="en-US" w:eastAsia="zh-CN"/>
        </w:rPr>
      </w:pPr>
      <w:r>
        <w:rPr>
          <w:rFonts w:hint="eastAsia" w:ascii="仿宋" w:hAnsi="仿宋" w:eastAsia="仿宋" w:cs="宋体"/>
          <w:b/>
          <w:color w:val="auto"/>
          <w:kern w:val="0"/>
          <w:sz w:val="28"/>
          <w:szCs w:val="28"/>
        </w:rPr>
        <w:t>手机：1</w:t>
      </w:r>
      <w:r>
        <w:rPr>
          <w:rFonts w:hint="eastAsia" w:ascii="仿宋" w:hAnsi="仿宋" w:eastAsia="仿宋" w:cs="宋体"/>
          <w:b/>
          <w:color w:val="auto"/>
          <w:kern w:val="0"/>
          <w:sz w:val="28"/>
          <w:szCs w:val="28"/>
          <w:lang w:val="en-US" w:eastAsia="zh-CN"/>
        </w:rPr>
        <w:t>3787324098</w:t>
      </w:r>
    </w:p>
    <w:p>
      <w:pPr>
        <w:widowControl/>
        <w:spacing w:line="504" w:lineRule="atLeast"/>
        <w:ind w:firstLine="480"/>
        <w:jc w:val="left"/>
        <w:rPr>
          <w:rFonts w:hint="default" w:ascii="仿宋" w:hAnsi="仿宋" w:eastAsia="仿宋" w:cs="宋体"/>
          <w:b/>
          <w:color w:val="auto"/>
          <w:kern w:val="0"/>
          <w:sz w:val="28"/>
          <w:szCs w:val="28"/>
          <w:lang w:val="en-US" w:eastAsia="zh-CN"/>
        </w:rPr>
      </w:pPr>
      <w:r>
        <w:rPr>
          <w:rFonts w:hint="eastAsia" w:ascii="仿宋" w:hAnsi="仿宋" w:eastAsia="仿宋" w:cs="宋体"/>
          <w:b/>
          <w:color w:val="auto"/>
          <w:kern w:val="0"/>
          <w:sz w:val="28"/>
          <w:szCs w:val="28"/>
        </w:rPr>
        <w:t>座机：0731-58290</w:t>
      </w:r>
      <w:r>
        <w:rPr>
          <w:rFonts w:hint="eastAsia" w:ascii="仿宋" w:hAnsi="仿宋" w:eastAsia="仿宋" w:cs="宋体"/>
          <w:b/>
          <w:color w:val="auto"/>
          <w:kern w:val="0"/>
          <w:sz w:val="28"/>
          <w:szCs w:val="28"/>
          <w:lang w:val="en-US" w:eastAsia="zh-CN"/>
        </w:rPr>
        <w:t>428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3MzMxMWNiOWY4YTcyNmE3YjI3NTY5NWE0ZGEzZjEifQ=="/>
  </w:docVars>
  <w:rsids>
    <w:rsidRoot w:val="00617F42"/>
    <w:rsid w:val="00095E3C"/>
    <w:rsid w:val="00124EEE"/>
    <w:rsid w:val="00131E4D"/>
    <w:rsid w:val="00137C7F"/>
    <w:rsid w:val="00171EF9"/>
    <w:rsid w:val="00175735"/>
    <w:rsid w:val="002E004B"/>
    <w:rsid w:val="002F1FB2"/>
    <w:rsid w:val="00383F61"/>
    <w:rsid w:val="003D718F"/>
    <w:rsid w:val="003E0853"/>
    <w:rsid w:val="00411B47"/>
    <w:rsid w:val="00456917"/>
    <w:rsid w:val="004646A3"/>
    <w:rsid w:val="004708EA"/>
    <w:rsid w:val="00527A56"/>
    <w:rsid w:val="00542287"/>
    <w:rsid w:val="00617F42"/>
    <w:rsid w:val="00620830"/>
    <w:rsid w:val="006B404B"/>
    <w:rsid w:val="007125A9"/>
    <w:rsid w:val="00764C07"/>
    <w:rsid w:val="007C67FB"/>
    <w:rsid w:val="007E6A71"/>
    <w:rsid w:val="00874B9B"/>
    <w:rsid w:val="00937EEF"/>
    <w:rsid w:val="009A4F23"/>
    <w:rsid w:val="009F2A3F"/>
    <w:rsid w:val="00A82B50"/>
    <w:rsid w:val="00A946DA"/>
    <w:rsid w:val="00AA5619"/>
    <w:rsid w:val="00AF1CFF"/>
    <w:rsid w:val="00B2355D"/>
    <w:rsid w:val="00B4704D"/>
    <w:rsid w:val="00C0431B"/>
    <w:rsid w:val="00C4704C"/>
    <w:rsid w:val="00C94546"/>
    <w:rsid w:val="00CD032F"/>
    <w:rsid w:val="00D631F5"/>
    <w:rsid w:val="00D7584B"/>
    <w:rsid w:val="00DA092E"/>
    <w:rsid w:val="00DB5F91"/>
    <w:rsid w:val="00E72444"/>
    <w:rsid w:val="00ED2EA7"/>
    <w:rsid w:val="00F26B5C"/>
    <w:rsid w:val="00F32CCA"/>
    <w:rsid w:val="00F62D5F"/>
    <w:rsid w:val="00F873D7"/>
    <w:rsid w:val="00FA3DA2"/>
    <w:rsid w:val="245E376A"/>
    <w:rsid w:val="2C68667F"/>
    <w:rsid w:val="6ECC3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日期1"/>
    <w:basedOn w:val="8"/>
    <w:qFormat/>
    <w:uiPriority w:val="0"/>
  </w:style>
  <w:style w:type="character" w:customStyle="1" w:styleId="12">
    <w:name w:val="reads"/>
    <w:basedOn w:val="8"/>
    <w:qFormat/>
    <w:uiPriority w:val="0"/>
  </w:style>
  <w:style w:type="paragraph" w:customStyle="1" w:styleId="13">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vsbcontent_im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8"/>
    <w:link w:val="5"/>
    <w:qFormat/>
    <w:uiPriority w:val="99"/>
    <w:rPr>
      <w:sz w:val="18"/>
      <w:szCs w:val="18"/>
    </w:rPr>
  </w:style>
  <w:style w:type="character" w:customStyle="1" w:styleId="17">
    <w:name w:val="页脚 Char"/>
    <w:basedOn w:val="8"/>
    <w:link w:val="4"/>
    <w:qFormat/>
    <w:uiPriority w:val="99"/>
    <w:rPr>
      <w:sz w:val="18"/>
      <w:szCs w:val="18"/>
    </w:rPr>
  </w:style>
  <w:style w:type="character" w:customStyle="1" w:styleId="18">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BB9-C1BD-4134-84FB-3AA46F9237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2883</Words>
  <Characters>3196</Characters>
  <Lines>20</Lines>
  <Paragraphs>5</Paragraphs>
  <TotalTime>9</TotalTime>
  <ScaleCrop>false</ScaleCrop>
  <LinksUpToDate>false</LinksUpToDate>
  <CharactersWithSpaces>3200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2023-04-20T03:34:00Z</dcterms:created>
  <dc:creator>曾治国</dc:creator>
  <cp:lastModifiedBy>蒋宏宇</cp:lastModifiedBy>
  <dcterms:modified xsi:type="dcterms:W3CDTF">2023-04-20T08:29:45Z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BF06F0D8BA7149099BF1C1ADFD748849_12</vt:lpwstr>
  </property>
</Properties>
</file>