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hint="default" w:ascii="Times New Roman" w:hAnsi="Times New Roman" w:eastAsia="等线"/>
          <w:color w:val="000000"/>
          <w:sz w:val="36"/>
          <w:szCs w:val="36"/>
          <w:shd w:val="clear" w:color="auto" w:fill="FFFFFF"/>
        </w:rPr>
      </w:pPr>
      <w:r>
        <w:rPr>
          <w:rFonts w:hint="default" w:ascii="Times New Roman" w:hAnsi="Times New Roman" w:eastAsia="等线"/>
          <w:color w:val="000000"/>
          <w:sz w:val="36"/>
          <w:szCs w:val="36"/>
          <w:shd w:val="clear" w:color="auto" w:fill="FFFFFF"/>
        </w:rPr>
        <w:t>湖南科技大学2023年</w:t>
      </w:r>
      <w:r>
        <w:rPr>
          <w:rFonts w:ascii="Times New Roman" w:hAnsi="Times New Roman" w:eastAsia="等线"/>
          <w:color w:val="000000"/>
          <w:sz w:val="36"/>
          <w:szCs w:val="36"/>
          <w:shd w:val="clear" w:color="auto" w:fill="FFFFFF"/>
        </w:rPr>
        <w:t>人文</w:t>
      </w:r>
      <w:r>
        <w:rPr>
          <w:rFonts w:hint="default" w:ascii="Times New Roman" w:hAnsi="Times New Roman" w:eastAsia="等线"/>
          <w:color w:val="000000"/>
          <w:sz w:val="36"/>
          <w:szCs w:val="36"/>
          <w:shd w:val="clear" w:color="auto" w:fill="FFFFFF"/>
        </w:rPr>
        <w:t>学院同等学力硕士学位班招生简章</w:t>
      </w:r>
    </w:p>
    <w:p>
      <w:pPr>
        <w:pStyle w:val="11"/>
        <w:numPr>
          <w:ilvl w:val="0"/>
          <w:numId w:val="1"/>
        </w:numPr>
        <w:spacing w:beforeLines="50"/>
        <w:ind w:firstLineChars="0"/>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学院简介</w:t>
      </w:r>
    </w:p>
    <w:p>
      <w:pPr>
        <w:pStyle w:val="5"/>
        <w:widowControl/>
        <w:shd w:val="clear" w:color="auto" w:fill="FFFFFF"/>
        <w:spacing w:before="0" w:beforeAutospacing="0" w:after="0" w:afterAutospacing="0" w:line="400" w:lineRule="exact"/>
        <w:ind w:firstLine="420" w:firstLineChars="200"/>
        <w:rPr>
          <w:rFonts w:hint="eastAsia" w:ascii="Times New Roman" w:hAnsi="Times New Roman" w:eastAsia="宋体"/>
          <w:sz w:val="21"/>
          <w:szCs w:val="21"/>
        </w:rPr>
      </w:pPr>
      <w:r>
        <w:rPr>
          <w:rFonts w:hint="eastAsia" w:ascii="Times New Roman" w:hAnsi="Times New Roman" w:eastAsia="宋体"/>
          <w:sz w:val="21"/>
          <w:szCs w:val="21"/>
        </w:rPr>
        <w:t>人文学院始创于1958年，是湖南科技大学成立最早的教学单位之一。学院现有教职工97人，专任教师84人，其中教授29人，副教授29人，有博士学位的教师57人，有首届全国高校百名教学名师1名，全国优秀教师1名，湖南省普通高等学校学科带头人1人，湖南省121人才工程第三层次人选2人，湖南省青年社科研究人才“百人工程”人选1人，湖南省普通高校青年骨干教师（培养对象）11人，湖南省普通高校教学奉献奖获得者1人。承担骨干老师培训和海外硕士及本科留学生培养工作。</w:t>
      </w:r>
    </w:p>
    <w:p>
      <w:pPr>
        <w:pStyle w:val="5"/>
        <w:widowControl/>
        <w:shd w:val="clear" w:color="auto" w:fill="FFFFFF"/>
        <w:spacing w:before="0" w:beforeAutospacing="0" w:after="0" w:afterAutospacing="0" w:line="400" w:lineRule="exact"/>
        <w:ind w:firstLine="420" w:firstLineChars="200"/>
        <w:rPr>
          <w:rFonts w:hint="eastAsia" w:ascii="Times New Roman" w:hAnsi="Times New Roman" w:eastAsia="宋体"/>
          <w:sz w:val="21"/>
          <w:szCs w:val="21"/>
        </w:rPr>
      </w:pPr>
      <w:r>
        <w:rPr>
          <w:rFonts w:hint="eastAsia" w:ascii="Times New Roman" w:hAnsi="Times New Roman" w:eastAsia="宋体"/>
          <w:sz w:val="21"/>
          <w:szCs w:val="21"/>
        </w:rPr>
        <w:t>学院设有汉语言文学、历史学、新闻学、广告学4个本科专业。汉语言文学专业为国家级一流专业、湖南省重点专业、湖南省特色专业，历史学专业为省级重点专业和湖南省一流本科专业建设点，历史学专业教学团队为省级教学团队。</w:t>
      </w:r>
    </w:p>
    <w:p>
      <w:pPr>
        <w:pStyle w:val="5"/>
        <w:widowControl/>
        <w:shd w:val="clear" w:color="auto" w:fill="FFFFFF"/>
        <w:spacing w:before="0" w:beforeAutospacing="0" w:after="0" w:afterAutospacing="0" w:line="400" w:lineRule="exact"/>
        <w:ind w:firstLine="420" w:firstLineChars="200"/>
        <w:rPr>
          <w:rFonts w:hint="eastAsia" w:ascii="Times New Roman" w:hAnsi="Times New Roman" w:eastAsia="宋体"/>
          <w:sz w:val="21"/>
          <w:szCs w:val="21"/>
        </w:rPr>
      </w:pPr>
      <w:r>
        <w:rPr>
          <w:rFonts w:hint="eastAsia" w:ascii="Times New Roman" w:hAnsi="Times New Roman" w:eastAsia="宋体"/>
          <w:sz w:val="21"/>
          <w:szCs w:val="21"/>
        </w:rPr>
        <w:t>学院现有中国语言文学和中国史2个一级学科硕士点和新闻与传播学、汉语国际教育专业学位点，有2个教育硕士专业学位点方向——学科教学（语文、历史）。中国语言文学为湖南省“十·五”至“十二·五”重点学科、博士单位建设支撑学科。学院拥有4个省级科研基地——“中国古代文学与社会文化研究基地”、“湖南省汉语方言与科技文化融合研究基地”、“湖南省首批铸牢中华民族共同体意识研究基地”和“湖南省首批省级语言文字推广基地”；1个省级研究生创新基地——“湖南省农村教育文化研究生创新基地”，1个省级研究生优秀教学团队——“语言与民俗文化教学团队”；1个本科学生省级优秀实习基地，1个省级普通高校创新创业教育中心——“人文与社会科学类创新创业教育中心”，2个省级普通高校创新创业实验基地——“融媒体建设与发展校企合作创新创业教育基地”和“文科师范类专业创新创业教育基地”、1个省级虚拟仿真实验教学项目——“公共安全事件融合新闻报道虚拟仿真实验项目”；有3个校级研究所——“湖南省非物质文化遗产研究所”“湖南地方史研究所”“地市州媒体发展研究所”。建有多功能演播厅、多功能语音室、语言实验室、新闻学与广告学专业功能齐全的实训系统。</w:t>
      </w:r>
    </w:p>
    <w:p>
      <w:pPr>
        <w:pStyle w:val="5"/>
        <w:widowControl/>
        <w:shd w:val="clear" w:color="auto" w:fill="FFFFFF"/>
        <w:spacing w:before="0" w:beforeAutospacing="0" w:after="0" w:afterAutospacing="0" w:line="400" w:lineRule="exact"/>
        <w:ind w:firstLine="420" w:firstLineChars="200"/>
        <w:rPr>
          <w:rFonts w:hint="eastAsia" w:ascii="Times New Roman" w:hAnsi="Times New Roman" w:eastAsia="宋体"/>
          <w:sz w:val="21"/>
          <w:szCs w:val="21"/>
        </w:rPr>
      </w:pPr>
      <w:r>
        <w:rPr>
          <w:rFonts w:hint="eastAsia" w:ascii="Times New Roman" w:hAnsi="Times New Roman" w:eastAsia="宋体"/>
          <w:sz w:val="21"/>
          <w:szCs w:val="21"/>
        </w:rPr>
        <w:t>学院是学校“三全育人”综合改革试点学院，重视学生综合素质培养，历年在国家和省级竞赛活动中成绩优异, 毕业生考研录取率超过21%。自1996年以来持续实施突出人文基础素养和教师基本技能特色的“32111”工程，曾被《中国教育报》《湖南日报》《湖南教育报》等媒体报道。广告专业“豆沙包”创作团队被央视新闻频道、《中国教育报》、湖南卫视、广西卫视、重庆卫视等多家媒体广泛报道。学生先后获得全国教育课程改革教研成果一等奖、全国大学生广告艺术大赛一等奖、全国经典诵读大赛一等奖等。涌现出了“全国大学生自强之星”“湖南教育十大新闻人物”“湖南省百佳大学生党员”等一大批优秀学生。</w:t>
      </w:r>
    </w:p>
    <w:p>
      <w:pPr>
        <w:spacing w:beforeLines="50"/>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二、专业方向</w:t>
      </w:r>
    </w:p>
    <w:p>
      <w:pPr>
        <w:pStyle w:val="5"/>
        <w:widowControl/>
        <w:shd w:val="clear" w:color="auto" w:fill="FFFFFF"/>
        <w:spacing w:before="0" w:beforeAutospacing="0" w:after="0" w:afterAutospacing="0" w:line="400" w:lineRule="exact"/>
        <w:ind w:firstLine="480" w:firstLineChars="200"/>
        <w:rPr>
          <w:rFonts w:ascii="宋体" w:hAnsi="宋体" w:cs="宋体"/>
          <w:szCs w:val="21"/>
        </w:rPr>
      </w:pPr>
      <w:r>
        <w:rPr>
          <w:rFonts w:hint="eastAsia" w:ascii="宋体" w:hAnsi="宋体" w:cs="宋体"/>
          <w:szCs w:val="21"/>
        </w:rPr>
        <w:t>中国语言文学</w:t>
      </w:r>
    </w:p>
    <w:p>
      <w:pPr>
        <w:spacing w:beforeLines="50"/>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三、培养对象</w:t>
      </w:r>
    </w:p>
    <w:p>
      <w:pPr>
        <w:pStyle w:val="5"/>
        <w:widowControl/>
        <w:shd w:val="clear" w:color="auto" w:fill="FFFFFF"/>
        <w:spacing w:before="0" w:beforeAutospacing="0" w:after="0" w:afterAutospacing="0" w:line="400" w:lineRule="exact"/>
        <w:ind w:firstLine="480" w:firstLineChars="200"/>
        <w:rPr>
          <w:rFonts w:ascii="宋体" w:hAnsi="宋体" w:cs="宋体"/>
          <w:szCs w:val="21"/>
        </w:rPr>
      </w:pPr>
      <w:r>
        <w:rPr>
          <w:rFonts w:ascii="宋体" w:hAnsi="宋体" w:cs="宋体"/>
          <w:szCs w:val="21"/>
        </w:rPr>
        <w:t>从事本专业相关工作的在职人员</w:t>
      </w:r>
    </w:p>
    <w:p>
      <w:pPr>
        <w:spacing w:beforeLines="50"/>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四、培养目标</w:t>
      </w:r>
    </w:p>
    <w:p>
      <w:pPr>
        <w:pStyle w:val="5"/>
        <w:widowControl/>
        <w:shd w:val="clear" w:color="auto" w:fill="FFFFFF"/>
        <w:spacing w:before="0" w:beforeAutospacing="0" w:after="0" w:afterAutospacing="0" w:line="400" w:lineRule="exact"/>
        <w:ind w:firstLine="480" w:firstLineChars="200"/>
        <w:rPr>
          <w:rFonts w:hint="eastAsia" w:ascii="宋体" w:hAnsi="宋体" w:cs="宋体"/>
          <w:szCs w:val="21"/>
        </w:rPr>
      </w:pPr>
      <w:r>
        <w:rPr>
          <w:rFonts w:hint="eastAsia" w:ascii="宋体" w:hAnsi="宋体" w:eastAsia="宋体" w:cs="宋体"/>
          <w:szCs w:val="21"/>
        </w:rPr>
        <w:t>要求掌握从事</w:t>
      </w:r>
      <w:r>
        <w:rPr>
          <w:rFonts w:hint="eastAsia" w:ascii="宋体" w:hAnsi="宋体" w:cs="宋体"/>
          <w:szCs w:val="21"/>
        </w:rPr>
        <w:t>本专业研究、</w:t>
      </w:r>
      <w:r>
        <w:rPr>
          <w:rFonts w:hint="eastAsia" w:ascii="宋体" w:hAnsi="宋体" w:eastAsia="宋体" w:cs="宋体"/>
          <w:szCs w:val="21"/>
        </w:rPr>
        <w:t>教学</w:t>
      </w:r>
      <w:r>
        <w:rPr>
          <w:rFonts w:hint="eastAsia" w:ascii="宋体" w:hAnsi="宋体" w:cs="宋体"/>
          <w:szCs w:val="21"/>
        </w:rPr>
        <w:t>与管理</w:t>
      </w:r>
      <w:r>
        <w:rPr>
          <w:rFonts w:hint="eastAsia" w:ascii="宋体" w:hAnsi="宋体" w:eastAsia="宋体" w:cs="宋体"/>
          <w:szCs w:val="21"/>
        </w:rPr>
        <w:t>工作所必需的基础理论和系统、扎实的专门知识。</w:t>
      </w:r>
      <w:r>
        <w:rPr>
          <w:rFonts w:hint="eastAsia" w:ascii="宋体" w:hAnsi="宋体" w:cs="宋体"/>
          <w:szCs w:val="21"/>
        </w:rPr>
        <w:t>在职</w:t>
      </w:r>
      <w:r>
        <w:rPr>
          <w:rFonts w:ascii="宋体" w:hAnsi="宋体" w:cs="宋体"/>
          <w:szCs w:val="21"/>
        </w:rPr>
        <w:t>培养具有</w:t>
      </w:r>
      <w:r>
        <w:rPr>
          <w:rFonts w:hint="eastAsia" w:ascii="宋体" w:hAnsi="宋体" w:eastAsia="宋体" w:cs="宋体"/>
          <w:szCs w:val="21"/>
        </w:rPr>
        <w:t>良好的公民意识和社会责任感</w:t>
      </w:r>
      <w:r>
        <w:rPr>
          <w:rFonts w:ascii="宋体" w:hAnsi="宋体" w:cs="宋体"/>
          <w:szCs w:val="21"/>
        </w:rPr>
        <w:t>、德才兼备、适应</w:t>
      </w:r>
      <w:r>
        <w:rPr>
          <w:rFonts w:hint="eastAsia" w:ascii="宋体" w:hAnsi="宋体" w:cs="宋体"/>
          <w:szCs w:val="21"/>
        </w:rPr>
        <w:t>新时代中国特色</w:t>
      </w:r>
      <w:r>
        <w:rPr>
          <w:rFonts w:ascii="宋体" w:hAnsi="宋体" w:cs="宋体"/>
          <w:szCs w:val="21"/>
        </w:rPr>
        <w:t>社会主义建设需要的高层次</w:t>
      </w:r>
      <w:r>
        <w:rPr>
          <w:rFonts w:hint="eastAsia" w:ascii="宋体" w:hAnsi="宋体" w:eastAsia="宋体" w:cs="宋体"/>
          <w:szCs w:val="21"/>
        </w:rPr>
        <w:t>中国语言文学专门人才</w:t>
      </w:r>
      <w:r>
        <w:rPr>
          <w:rFonts w:ascii="宋体" w:hAnsi="宋体" w:cs="宋体"/>
          <w:szCs w:val="21"/>
        </w:rPr>
        <w:t>。</w:t>
      </w:r>
    </w:p>
    <w:p>
      <w:pPr>
        <w:spacing w:beforeLines="50"/>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五、培养方案</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ascii="宋体" w:hAnsi="宋体" w:eastAsia="宋体" w:cs="宋体"/>
          <w:szCs w:val="21"/>
        </w:rPr>
        <w:t>同等学力人</w:t>
      </w:r>
      <w:r>
        <w:rPr>
          <w:rFonts w:hint="eastAsia" w:ascii="宋体" w:hAnsi="宋体" w:eastAsia="宋体" w:cs="宋体"/>
          <w:szCs w:val="21"/>
        </w:rPr>
        <w:t>员申请硕士学位按相应学科（专业）的学术学位硕士研究生培养方案执行。</w:t>
      </w:r>
    </w:p>
    <w:p>
      <w:pPr>
        <w:pStyle w:val="5"/>
        <w:widowControl/>
        <w:shd w:val="clear" w:color="auto" w:fill="FFFFFF"/>
        <w:spacing w:before="0" w:beforeAutospacing="0" w:after="0" w:afterAutospacing="0" w:line="480" w:lineRule="atLeast"/>
        <w:jc w:val="center"/>
        <w:rPr>
          <w:rFonts w:hint="eastAsia" w:ascii="Times New Roman" w:hAnsi="Times New Roman" w:eastAsia="宋体"/>
          <w:b/>
          <w:bCs/>
          <w:sz w:val="22"/>
          <w:szCs w:val="22"/>
        </w:rPr>
      </w:pPr>
    </w:p>
    <w:p>
      <w:pPr>
        <w:pStyle w:val="5"/>
        <w:widowControl/>
        <w:shd w:val="clear" w:color="auto" w:fill="FFFFFF"/>
        <w:spacing w:before="0" w:beforeAutospacing="0" w:after="0" w:afterAutospacing="0" w:line="480" w:lineRule="atLeast"/>
        <w:jc w:val="center"/>
        <w:rPr>
          <w:rFonts w:ascii="仿宋" w:hAnsi="仿宋" w:eastAsia="仿宋" w:cs="仿宋"/>
          <w:color w:val="585858"/>
          <w:sz w:val="28"/>
          <w:szCs w:val="28"/>
          <w:shd w:val="clear" w:color="auto" w:fill="FFFFFF"/>
        </w:rPr>
      </w:pPr>
      <w:r>
        <w:rPr>
          <w:rFonts w:hint="eastAsia" w:ascii="Times New Roman" w:hAnsi="Times New Roman" w:eastAsia="宋体"/>
          <w:b/>
          <w:bCs/>
          <w:sz w:val="22"/>
          <w:szCs w:val="22"/>
        </w:rPr>
        <w:t>同等学历中国语言文学专业培养计划（2023）</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97"/>
        <w:gridCol w:w="2743"/>
        <w:gridCol w:w="632"/>
        <w:gridCol w:w="1532"/>
        <w:gridCol w:w="65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jc w:val="center"/>
              <w:rPr>
                <w:rFonts w:ascii="Times New Roman" w:hAnsi="Times New Roman" w:eastAsia="宋体" w:cs="Times New Roman"/>
                <w:b/>
                <w:bCs/>
                <w:color w:val="585858"/>
                <w:sz w:val="18"/>
                <w:szCs w:val="18"/>
                <w:shd w:val="clear" w:color="auto" w:fill="FFFFFF"/>
              </w:rPr>
            </w:pPr>
            <w:r>
              <w:rPr>
                <w:rFonts w:ascii="Times New Roman" w:hAnsi="Times New Roman" w:eastAsia="宋体" w:cs="Times New Roman"/>
                <w:b/>
                <w:bCs/>
                <w:color w:val="585858"/>
                <w:sz w:val="18"/>
                <w:szCs w:val="18"/>
                <w:shd w:val="clear" w:color="auto" w:fill="FFFFFF"/>
              </w:rPr>
              <w:t>课程类别</w:t>
            </w:r>
          </w:p>
        </w:tc>
        <w:tc>
          <w:tcPr>
            <w:tcW w:w="997" w:type="dxa"/>
            <w:vAlign w:val="center"/>
          </w:tcPr>
          <w:p>
            <w:pPr>
              <w:jc w:val="center"/>
              <w:rPr>
                <w:rFonts w:ascii="Times New Roman" w:hAnsi="Times New Roman" w:eastAsia="宋体" w:cs="Times New Roman"/>
                <w:b/>
                <w:bCs/>
                <w:color w:val="585858"/>
                <w:sz w:val="18"/>
                <w:szCs w:val="18"/>
                <w:shd w:val="clear" w:color="auto" w:fill="FFFFFF"/>
              </w:rPr>
            </w:pPr>
            <w:r>
              <w:rPr>
                <w:rFonts w:ascii="Times New Roman" w:hAnsi="Times New Roman" w:eastAsia="宋体" w:cs="Times New Roman"/>
                <w:b/>
                <w:bCs/>
                <w:color w:val="585858"/>
                <w:sz w:val="18"/>
                <w:szCs w:val="18"/>
                <w:shd w:val="clear" w:color="auto" w:fill="FFFFFF"/>
              </w:rPr>
              <w:t>课程代码</w:t>
            </w:r>
          </w:p>
        </w:tc>
        <w:tc>
          <w:tcPr>
            <w:tcW w:w="2743" w:type="dxa"/>
            <w:vAlign w:val="center"/>
          </w:tcPr>
          <w:p>
            <w:pPr>
              <w:jc w:val="center"/>
              <w:rPr>
                <w:rFonts w:ascii="Times New Roman" w:hAnsi="Times New Roman" w:eastAsia="宋体" w:cs="Times New Roman"/>
                <w:b/>
                <w:bCs/>
                <w:color w:val="585858"/>
                <w:sz w:val="18"/>
                <w:szCs w:val="18"/>
                <w:shd w:val="clear" w:color="auto" w:fill="FFFFFF"/>
              </w:rPr>
            </w:pPr>
            <w:r>
              <w:rPr>
                <w:rFonts w:ascii="Times New Roman" w:hAnsi="Times New Roman" w:eastAsia="宋体" w:cs="Times New Roman"/>
                <w:b/>
                <w:bCs/>
                <w:color w:val="585858"/>
                <w:sz w:val="18"/>
                <w:szCs w:val="18"/>
                <w:shd w:val="clear" w:color="auto" w:fill="FFFFFF"/>
              </w:rPr>
              <w:t>课程名称</w:t>
            </w:r>
          </w:p>
        </w:tc>
        <w:tc>
          <w:tcPr>
            <w:tcW w:w="632" w:type="dxa"/>
            <w:vAlign w:val="center"/>
          </w:tcPr>
          <w:p>
            <w:pPr>
              <w:jc w:val="center"/>
              <w:rPr>
                <w:rFonts w:ascii="Times New Roman" w:hAnsi="Times New Roman" w:eastAsia="宋体" w:cs="Times New Roman"/>
                <w:b/>
                <w:bCs/>
                <w:color w:val="585858"/>
                <w:sz w:val="18"/>
                <w:szCs w:val="18"/>
                <w:shd w:val="clear" w:color="auto" w:fill="FFFFFF"/>
              </w:rPr>
            </w:pPr>
            <w:r>
              <w:rPr>
                <w:rFonts w:ascii="Times New Roman" w:hAnsi="Times New Roman" w:eastAsia="宋体" w:cs="Times New Roman"/>
                <w:b/>
                <w:bCs/>
                <w:color w:val="585858"/>
                <w:sz w:val="18"/>
                <w:szCs w:val="18"/>
                <w:shd w:val="clear" w:color="auto" w:fill="FFFFFF"/>
              </w:rPr>
              <w:t>学分</w:t>
            </w:r>
          </w:p>
        </w:tc>
        <w:tc>
          <w:tcPr>
            <w:tcW w:w="1532" w:type="dxa"/>
            <w:vAlign w:val="center"/>
          </w:tcPr>
          <w:p>
            <w:pPr>
              <w:jc w:val="center"/>
              <w:rPr>
                <w:rFonts w:ascii="Times New Roman" w:hAnsi="Times New Roman" w:eastAsia="宋体" w:cs="Times New Roman"/>
                <w:b/>
                <w:bCs/>
                <w:color w:val="585858"/>
                <w:sz w:val="18"/>
                <w:szCs w:val="18"/>
                <w:shd w:val="clear" w:color="auto" w:fill="FFFFFF"/>
              </w:rPr>
            </w:pPr>
            <w:r>
              <w:rPr>
                <w:rFonts w:ascii="Times New Roman" w:hAnsi="Times New Roman" w:eastAsia="宋体" w:cs="Times New Roman"/>
                <w:b/>
                <w:bCs/>
                <w:color w:val="585858"/>
                <w:sz w:val="18"/>
                <w:szCs w:val="18"/>
                <w:shd w:val="clear" w:color="auto" w:fill="FFFFFF"/>
              </w:rPr>
              <w:t>应修学分</w:t>
            </w:r>
          </w:p>
        </w:tc>
        <w:tc>
          <w:tcPr>
            <w:tcW w:w="654" w:type="dxa"/>
            <w:vAlign w:val="center"/>
          </w:tcPr>
          <w:p>
            <w:pPr>
              <w:jc w:val="center"/>
              <w:rPr>
                <w:rFonts w:ascii="Times New Roman" w:hAnsi="Times New Roman" w:eastAsia="宋体" w:cs="Times New Roman"/>
                <w:b/>
                <w:bCs/>
                <w:color w:val="585858"/>
                <w:sz w:val="18"/>
                <w:szCs w:val="18"/>
                <w:shd w:val="clear" w:color="auto" w:fill="FFFFFF"/>
              </w:rPr>
            </w:pPr>
            <w:r>
              <w:rPr>
                <w:rFonts w:ascii="Times New Roman" w:hAnsi="Times New Roman" w:eastAsia="宋体" w:cs="Times New Roman"/>
                <w:b/>
                <w:bCs/>
                <w:color w:val="585858"/>
                <w:sz w:val="18"/>
                <w:szCs w:val="18"/>
                <w:shd w:val="clear" w:color="auto" w:fill="FFFFFF"/>
              </w:rPr>
              <w:t>备注</w:t>
            </w:r>
          </w:p>
        </w:tc>
        <w:tc>
          <w:tcPr>
            <w:tcW w:w="993" w:type="dxa"/>
            <w:vAlign w:val="center"/>
          </w:tcPr>
          <w:p>
            <w:pPr>
              <w:jc w:val="center"/>
              <w:rPr>
                <w:rFonts w:ascii="Times New Roman" w:hAnsi="Times New Roman" w:eastAsia="宋体" w:cs="Times New Roman"/>
                <w:b/>
                <w:bCs/>
                <w:color w:val="585858"/>
                <w:sz w:val="18"/>
                <w:szCs w:val="18"/>
                <w:shd w:val="clear" w:color="auto" w:fill="FFFFFF"/>
              </w:rPr>
            </w:pPr>
            <w:r>
              <w:rPr>
                <w:rFonts w:ascii="Times New Roman" w:hAnsi="Times New Roman" w:eastAsia="宋体" w:cs="Times New Roman"/>
                <w:b/>
                <w:bCs/>
                <w:color w:val="585858"/>
                <w:sz w:val="18"/>
                <w:szCs w:val="18"/>
                <w:shd w:val="clear" w:color="auto" w:fill="FFFFFF"/>
              </w:rPr>
              <w:t>授课时间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sz w:val="15"/>
                <w:szCs w:val="15"/>
                <w:shd w:val="clear" w:color="auto" w:fill="FFFFFF"/>
              </w:rPr>
              <w:t>公共基础课</w:t>
            </w:r>
          </w:p>
        </w:tc>
        <w:tc>
          <w:tcPr>
            <w:tcW w:w="997"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G19000001</w:t>
            </w:r>
          </w:p>
        </w:tc>
        <w:tc>
          <w:tcPr>
            <w:tcW w:w="2743"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中国特色社会主义理论与实践研究</w:t>
            </w:r>
          </w:p>
        </w:tc>
        <w:tc>
          <w:tcPr>
            <w:tcW w:w="632" w:type="dxa"/>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2</w:t>
            </w:r>
          </w:p>
        </w:tc>
        <w:tc>
          <w:tcPr>
            <w:tcW w:w="1532" w:type="dxa"/>
            <w:vMerge w:val="restart"/>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必修</w:t>
            </w:r>
            <w:r>
              <w:rPr>
                <w:rFonts w:hint="eastAsia" w:ascii="Times New Roman" w:hAnsi="Times New Roman" w:eastAsia="宋体" w:cs="Times New Roman"/>
                <w:sz w:val="15"/>
                <w:szCs w:val="15"/>
              </w:rPr>
              <w:t>6</w:t>
            </w:r>
            <w:r>
              <w:rPr>
                <w:rFonts w:ascii="Times New Roman" w:hAnsi="Times New Roman" w:eastAsia="宋体" w:cs="Times New Roman"/>
                <w:sz w:val="15"/>
                <w:szCs w:val="15"/>
              </w:rPr>
              <w:t>学分</w:t>
            </w: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color w:val="585858"/>
                <w:sz w:val="15"/>
                <w:szCs w:val="15"/>
                <w:shd w:val="clear" w:color="auto" w:fill="FFFFFF"/>
              </w:rPr>
            </w:pPr>
          </w:p>
        </w:tc>
        <w:tc>
          <w:tcPr>
            <w:tcW w:w="997"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G19000002</w:t>
            </w:r>
          </w:p>
        </w:tc>
        <w:tc>
          <w:tcPr>
            <w:tcW w:w="2743"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马克思主义与社会科学方法论</w:t>
            </w:r>
          </w:p>
        </w:tc>
        <w:tc>
          <w:tcPr>
            <w:tcW w:w="632" w:type="dxa"/>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1</w:t>
            </w:r>
          </w:p>
        </w:tc>
        <w:tc>
          <w:tcPr>
            <w:tcW w:w="1532" w:type="dxa"/>
            <w:vMerge w:val="continue"/>
            <w:vAlign w:val="center"/>
          </w:tcPr>
          <w:p>
            <w:pPr>
              <w:jc w:val="center"/>
              <w:rPr>
                <w:rFonts w:ascii="Times New Roman" w:hAnsi="Times New Roman" w:eastAsia="宋体" w:cs="Times New Roman"/>
                <w:color w:val="585858"/>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color w:val="585858"/>
                <w:sz w:val="15"/>
                <w:szCs w:val="15"/>
                <w:shd w:val="clear" w:color="auto" w:fill="FFFFFF"/>
              </w:rPr>
            </w:pPr>
          </w:p>
        </w:tc>
        <w:tc>
          <w:tcPr>
            <w:tcW w:w="997"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G19000003</w:t>
            </w:r>
          </w:p>
        </w:tc>
        <w:tc>
          <w:tcPr>
            <w:tcW w:w="2743"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综合英语</w:t>
            </w:r>
          </w:p>
        </w:tc>
        <w:tc>
          <w:tcPr>
            <w:tcW w:w="632" w:type="dxa"/>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2</w:t>
            </w:r>
          </w:p>
        </w:tc>
        <w:tc>
          <w:tcPr>
            <w:tcW w:w="1532" w:type="dxa"/>
            <w:vMerge w:val="continue"/>
            <w:vAlign w:val="center"/>
          </w:tcPr>
          <w:p>
            <w:pPr>
              <w:jc w:val="center"/>
              <w:rPr>
                <w:rFonts w:ascii="Times New Roman" w:hAnsi="Times New Roman" w:eastAsia="宋体" w:cs="Times New Roman"/>
                <w:color w:val="585858"/>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color w:val="585858"/>
                <w:sz w:val="15"/>
                <w:szCs w:val="15"/>
                <w:shd w:val="clear" w:color="auto" w:fill="FFFFFF"/>
              </w:rPr>
            </w:pPr>
          </w:p>
        </w:tc>
        <w:tc>
          <w:tcPr>
            <w:tcW w:w="997"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G19000004</w:t>
            </w:r>
          </w:p>
        </w:tc>
        <w:tc>
          <w:tcPr>
            <w:tcW w:w="2743"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学术英语写作</w:t>
            </w:r>
          </w:p>
        </w:tc>
        <w:tc>
          <w:tcPr>
            <w:tcW w:w="632" w:type="dxa"/>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1</w:t>
            </w:r>
          </w:p>
        </w:tc>
        <w:tc>
          <w:tcPr>
            <w:tcW w:w="1532" w:type="dxa"/>
            <w:vMerge w:val="continue"/>
            <w:vAlign w:val="center"/>
          </w:tcPr>
          <w:p>
            <w:pPr>
              <w:jc w:val="center"/>
              <w:rPr>
                <w:rFonts w:ascii="Times New Roman" w:hAnsi="Times New Roman" w:eastAsia="宋体" w:cs="Times New Roman"/>
                <w:color w:val="585858"/>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vAlign w:val="center"/>
          </w:tcPr>
          <w:p>
            <w:pPr>
              <w:jc w:val="center"/>
              <w:rPr>
                <w:rFonts w:ascii="Times New Roman" w:hAnsi="Times New Roman" w:eastAsia="宋体" w:cs="Times New Roman"/>
                <w:sz w:val="15"/>
                <w:szCs w:val="15"/>
                <w:shd w:val="clear" w:color="auto" w:fill="FFFFFF"/>
              </w:rPr>
            </w:pPr>
            <w:r>
              <w:rPr>
                <w:rFonts w:ascii="Times New Roman" w:hAnsi="Times New Roman" w:eastAsia="宋体" w:cs="Times New Roman"/>
                <w:sz w:val="15"/>
                <w:szCs w:val="15"/>
                <w:shd w:val="clear" w:color="auto" w:fill="FFFFFF"/>
              </w:rPr>
              <w:t>学科基础课</w:t>
            </w: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X19110101</w:t>
            </w:r>
          </w:p>
        </w:tc>
        <w:tc>
          <w:tcPr>
            <w:tcW w:w="2743"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中国古代文学专题</w:t>
            </w:r>
          </w:p>
        </w:tc>
        <w:tc>
          <w:tcPr>
            <w:tcW w:w="632" w:type="dxa"/>
            <w:vAlign w:val="center"/>
          </w:tcPr>
          <w:p>
            <w:pPr>
              <w:jc w:val="center"/>
              <w:rPr>
                <w:rFonts w:ascii="Times New Roman" w:hAnsi="Times New Roman" w:eastAsia="宋体" w:cs="Times New Roman"/>
                <w:sz w:val="15"/>
                <w:szCs w:val="15"/>
              </w:rPr>
            </w:pPr>
            <w:r>
              <w:rPr>
                <w:rFonts w:ascii="Times New Roman" w:hAnsi="Times New Roman" w:eastAsia="宋体" w:cs="Times New Roman"/>
                <w:sz w:val="15"/>
                <w:szCs w:val="15"/>
              </w:rPr>
              <w:t>3</w:t>
            </w:r>
          </w:p>
        </w:tc>
        <w:tc>
          <w:tcPr>
            <w:tcW w:w="1532" w:type="dxa"/>
            <w:vMerge w:val="restart"/>
            <w:vAlign w:val="center"/>
          </w:tcPr>
          <w:p>
            <w:pPr>
              <w:jc w:val="center"/>
              <w:rPr>
                <w:rFonts w:ascii="Times New Roman" w:hAnsi="Times New Roman" w:eastAsia="宋体" w:cs="Times New Roman"/>
                <w:color w:val="FF0000"/>
                <w:sz w:val="15"/>
                <w:szCs w:val="15"/>
                <w:shd w:val="clear" w:color="auto" w:fill="FFFFFF"/>
              </w:rPr>
            </w:pPr>
            <w:r>
              <w:rPr>
                <w:rFonts w:ascii="Times New Roman" w:hAnsi="Times New Roman" w:eastAsia="宋体" w:cs="Times New Roman"/>
                <w:sz w:val="15"/>
                <w:szCs w:val="15"/>
              </w:rPr>
              <w:t>必修</w:t>
            </w:r>
            <w:r>
              <w:rPr>
                <w:rFonts w:hint="eastAsia" w:ascii="Times New Roman" w:hAnsi="Times New Roman" w:eastAsia="宋体" w:cs="Times New Roman"/>
                <w:sz w:val="15"/>
                <w:szCs w:val="15"/>
              </w:rPr>
              <w:t>31</w:t>
            </w:r>
            <w:r>
              <w:rPr>
                <w:rFonts w:ascii="Times New Roman" w:hAnsi="Times New Roman" w:eastAsia="宋体" w:cs="Times New Roman"/>
                <w:sz w:val="15"/>
                <w:szCs w:val="15"/>
              </w:rPr>
              <w:t>学分</w:t>
            </w: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X19110102</w:t>
            </w:r>
          </w:p>
        </w:tc>
        <w:tc>
          <w:tcPr>
            <w:tcW w:w="2743"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中国现当代文学专题研究</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X19110103</w:t>
            </w:r>
          </w:p>
        </w:tc>
        <w:tc>
          <w:tcPr>
            <w:tcW w:w="2743" w:type="dxa"/>
            <w:vAlign w:val="center"/>
          </w:tcPr>
          <w:p>
            <w:pPr>
              <w:jc w:val="cente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文学理论基本问题</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X19110104</w:t>
            </w:r>
          </w:p>
        </w:tc>
        <w:tc>
          <w:tcPr>
            <w:tcW w:w="2743"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汉语方言与地域文化</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X19110105</w:t>
            </w:r>
          </w:p>
        </w:tc>
        <w:tc>
          <w:tcPr>
            <w:tcW w:w="2743"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汉字学</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X19110106</w:t>
            </w:r>
          </w:p>
        </w:tc>
        <w:tc>
          <w:tcPr>
            <w:tcW w:w="2743"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中国俗文学研究</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X19110107</w:t>
            </w:r>
          </w:p>
        </w:tc>
        <w:tc>
          <w:tcPr>
            <w:tcW w:w="2743"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文学理论经典名著选读</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X19110108</w:t>
            </w:r>
          </w:p>
        </w:tc>
        <w:tc>
          <w:tcPr>
            <w:tcW w:w="2743"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现当代文学批评</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X19110109</w:t>
            </w:r>
          </w:p>
        </w:tc>
        <w:tc>
          <w:tcPr>
            <w:tcW w:w="2743"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汉语史</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X191101010</w:t>
            </w:r>
          </w:p>
        </w:tc>
        <w:tc>
          <w:tcPr>
            <w:tcW w:w="2743"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语言学名著选读</w:t>
            </w:r>
          </w:p>
        </w:tc>
        <w:tc>
          <w:tcPr>
            <w:tcW w:w="632"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3</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pPr>
              <w:jc w:val="center"/>
              <w:rPr>
                <w:rFonts w:ascii="Times New Roman" w:hAnsi="Times New Roman" w:eastAsia="宋体" w:cs="Times New Roman"/>
                <w:sz w:val="15"/>
                <w:szCs w:val="15"/>
                <w:shd w:val="clear" w:color="auto" w:fill="FFFFFF"/>
              </w:rPr>
            </w:pP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X191101011</w:t>
            </w:r>
          </w:p>
        </w:tc>
        <w:tc>
          <w:tcPr>
            <w:tcW w:w="2743" w:type="dxa"/>
            <w:vAlign w:val="center"/>
          </w:tcPr>
          <w:p>
            <w:pPr>
              <w:adjustRightInd w:val="0"/>
              <w:jc w:val="center"/>
              <w:rPr>
                <w:rFonts w:ascii="Times New Roman" w:hAnsi="Times New Roman" w:eastAsia="宋体" w:cs="Times New Roman"/>
                <w:sz w:val="15"/>
                <w:szCs w:val="15"/>
              </w:rPr>
            </w:pPr>
            <w:r>
              <w:rPr>
                <w:rFonts w:ascii="Times New Roman" w:hAnsi="Times New Roman" w:eastAsia="宋体" w:cs="Times New Roman"/>
                <w:sz w:val="15"/>
                <w:szCs w:val="15"/>
              </w:rPr>
              <w:t>学术论文写作</w:t>
            </w:r>
          </w:p>
        </w:tc>
        <w:tc>
          <w:tcPr>
            <w:tcW w:w="632" w:type="dxa"/>
            <w:vAlign w:val="center"/>
          </w:tcPr>
          <w:p>
            <w:pPr>
              <w:adjustRightInd w:val="0"/>
              <w:jc w:val="center"/>
              <w:rPr>
                <w:rFonts w:ascii="Times New Roman" w:hAnsi="Times New Roman" w:eastAsia="宋体" w:cs="Times New Roman"/>
                <w:sz w:val="15"/>
                <w:szCs w:val="15"/>
              </w:rPr>
            </w:pPr>
            <w:r>
              <w:rPr>
                <w:rFonts w:ascii="Times New Roman" w:hAnsi="Times New Roman" w:eastAsia="宋体" w:cs="Times New Roman"/>
                <w:sz w:val="15"/>
                <w:szCs w:val="15"/>
              </w:rPr>
              <w:t>1</w:t>
            </w:r>
          </w:p>
        </w:tc>
        <w:tc>
          <w:tcPr>
            <w:tcW w:w="1532" w:type="dxa"/>
            <w:vMerge w:val="continue"/>
            <w:vAlign w:val="center"/>
          </w:tcPr>
          <w:p>
            <w:pPr>
              <w:jc w:val="center"/>
              <w:rPr>
                <w:rFonts w:ascii="Times New Roman" w:hAnsi="Times New Roman" w:eastAsia="宋体" w:cs="Times New Roman"/>
                <w:sz w:val="15"/>
                <w:szCs w:val="15"/>
                <w:shd w:val="clear" w:color="auto" w:fill="FFFFFF"/>
              </w:rPr>
            </w:pP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585858"/>
                <w:sz w:val="15"/>
                <w:szCs w:val="15"/>
                <w:shd w:val="clear" w:color="auto" w:fill="FFFFFF"/>
              </w:rPr>
              <w:t>实践环节</w:t>
            </w:r>
          </w:p>
        </w:tc>
        <w:tc>
          <w:tcPr>
            <w:tcW w:w="997"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G19000023</w:t>
            </w:r>
          </w:p>
        </w:tc>
        <w:tc>
          <w:tcPr>
            <w:tcW w:w="2743" w:type="dxa"/>
            <w:vAlign w:val="center"/>
          </w:tcPr>
          <w:p>
            <w:pPr>
              <w:adjustRightInd w:val="0"/>
              <w:ind w:right="113"/>
              <w:jc w:val="center"/>
              <w:rPr>
                <w:rFonts w:ascii="Times New Roman" w:hAnsi="Times New Roman" w:eastAsia="宋体" w:cs="Times New Roman"/>
                <w:sz w:val="15"/>
                <w:szCs w:val="15"/>
              </w:rPr>
            </w:pPr>
            <w:r>
              <w:rPr>
                <w:rFonts w:ascii="Times New Roman" w:hAnsi="Times New Roman" w:eastAsia="宋体" w:cs="Times New Roman"/>
                <w:sz w:val="15"/>
                <w:szCs w:val="15"/>
              </w:rPr>
              <w:t>实践活动</w:t>
            </w:r>
          </w:p>
        </w:tc>
        <w:tc>
          <w:tcPr>
            <w:tcW w:w="632" w:type="dxa"/>
            <w:vAlign w:val="center"/>
          </w:tcPr>
          <w:p>
            <w:pPr>
              <w:adjustRightInd w:val="0"/>
              <w:snapToGrid w:val="0"/>
              <w:jc w:val="center"/>
              <w:rPr>
                <w:rFonts w:ascii="Times New Roman" w:hAnsi="Times New Roman" w:eastAsia="宋体" w:cs="Times New Roman"/>
                <w:sz w:val="15"/>
                <w:szCs w:val="15"/>
              </w:rPr>
            </w:pPr>
            <w:r>
              <w:rPr>
                <w:rFonts w:ascii="Times New Roman" w:hAnsi="Times New Roman" w:eastAsia="宋体" w:cs="Times New Roman"/>
                <w:sz w:val="15"/>
                <w:szCs w:val="15"/>
              </w:rPr>
              <w:t>1</w:t>
            </w:r>
          </w:p>
        </w:tc>
        <w:tc>
          <w:tcPr>
            <w:tcW w:w="1532"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sz w:val="15"/>
                <w:szCs w:val="15"/>
              </w:rPr>
              <w:t>第</w:t>
            </w:r>
            <w:r>
              <w:rPr>
                <w:rFonts w:hint="eastAsia" w:ascii="Times New Roman" w:hAnsi="Times New Roman" w:eastAsia="宋体" w:cs="Times New Roman"/>
                <w:sz w:val="15"/>
                <w:szCs w:val="15"/>
              </w:rPr>
              <w:t>5</w:t>
            </w:r>
            <w:r>
              <w:rPr>
                <w:rFonts w:ascii="Times New Roman" w:hAnsi="Times New Roman" w:eastAsia="宋体" w:cs="Times New Roman"/>
                <w:sz w:val="15"/>
                <w:szCs w:val="15"/>
              </w:rPr>
              <w:t>学期前完成</w:t>
            </w: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585858"/>
                <w:sz w:val="15"/>
                <w:szCs w:val="15"/>
                <w:shd w:val="clear" w:color="auto" w:fill="FFFFFF"/>
              </w:rPr>
              <w:t>学术活动</w:t>
            </w:r>
          </w:p>
        </w:tc>
        <w:tc>
          <w:tcPr>
            <w:tcW w:w="997" w:type="dxa"/>
            <w:vAlign w:val="center"/>
          </w:tcPr>
          <w:p>
            <w:pPr>
              <w:jc w:val="center"/>
              <w:rPr>
                <w:rFonts w:ascii="Times New Roman" w:hAnsi="Times New Roman" w:eastAsia="宋体" w:cs="Times New Roman"/>
                <w:color w:val="585858"/>
                <w:sz w:val="15"/>
                <w:szCs w:val="15"/>
                <w:shd w:val="clear" w:color="auto" w:fill="FFFFFF"/>
              </w:rPr>
            </w:pPr>
          </w:p>
        </w:tc>
        <w:tc>
          <w:tcPr>
            <w:tcW w:w="2743" w:type="dxa"/>
            <w:vAlign w:val="center"/>
          </w:tcPr>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学术活动的主要形式包括听取学术报告、讲座，参加学术会议，参加学校或省级研究生论坛，参加学院主办的学术沙龙等。</w:t>
            </w:r>
            <w:r>
              <w:rPr>
                <w:rFonts w:ascii="Times New Roman" w:hAnsi="Times New Roman" w:eastAsia="宋体" w:cs="Times New Roman"/>
                <w:sz w:val="15"/>
                <w:szCs w:val="15"/>
              </w:rPr>
              <w:t>。</w:t>
            </w:r>
          </w:p>
        </w:tc>
        <w:tc>
          <w:tcPr>
            <w:tcW w:w="632" w:type="dxa"/>
            <w:vAlign w:val="center"/>
          </w:tcPr>
          <w:p>
            <w:pPr>
              <w:rPr>
                <w:rFonts w:ascii="Times New Roman" w:hAnsi="Times New Roman" w:eastAsia="宋体" w:cs="Times New Roman"/>
                <w:color w:val="585858"/>
                <w:sz w:val="15"/>
                <w:szCs w:val="15"/>
                <w:shd w:val="clear" w:color="auto" w:fill="FFFFFF"/>
              </w:rPr>
            </w:pPr>
          </w:p>
        </w:tc>
        <w:tc>
          <w:tcPr>
            <w:tcW w:w="1532" w:type="dxa"/>
            <w:vAlign w:val="center"/>
          </w:tcPr>
          <w:p>
            <w:pP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000000"/>
                <w:sz w:val="15"/>
                <w:szCs w:val="15"/>
              </w:rPr>
              <w:t>须参加学术活动10次以上，其中本人主讲报告至少一次。</w:t>
            </w:r>
          </w:p>
        </w:tc>
        <w:tc>
          <w:tcPr>
            <w:tcW w:w="654"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必修</w:t>
            </w:r>
          </w:p>
        </w:tc>
        <w:tc>
          <w:tcPr>
            <w:tcW w:w="993" w:type="dxa"/>
            <w:vAlign w:val="center"/>
          </w:tcPr>
          <w:p>
            <w:pPr>
              <w:jc w:val="center"/>
              <w:rPr>
                <w:rFonts w:ascii="Times New Roman" w:hAnsi="Times New Roman" w:eastAsia="宋体" w:cs="Times New Roman"/>
                <w:color w:val="585858"/>
                <w:sz w:val="15"/>
                <w:szCs w:val="15"/>
                <w:shd w:val="clear" w:color="auto" w:fill="FFFFFF"/>
              </w:rPr>
            </w:pPr>
            <w:r>
              <w:rPr>
                <w:rFonts w:ascii="Times New Roman" w:hAnsi="Times New Roman" w:eastAsia="宋体" w:cs="Times New Roman"/>
                <w:color w:val="222222"/>
                <w:sz w:val="15"/>
                <w:szCs w:val="15"/>
                <w:shd w:val="clear" w:color="auto" w:fill="FFFFFF"/>
              </w:rPr>
              <w:t>周六、周日</w:t>
            </w:r>
          </w:p>
        </w:tc>
      </w:tr>
    </w:tbl>
    <w:p>
      <w:pPr>
        <w:spacing w:beforeLines="50"/>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六、申请条件</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 xml:space="preserve">1. </w:t>
      </w:r>
      <w:r>
        <w:rPr>
          <w:rFonts w:ascii="宋体" w:hAnsi="宋体" w:eastAsia="宋体" w:cs="宋体"/>
          <w:szCs w:val="21"/>
        </w:rPr>
        <w:t>遵守法律、法规，品行端正；</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2. 已获得学士学位并在获得学士学位后工作三年以上，或虽无学士学位但已获得硕士或博士学位者，在教学、科研、专门技术、管理等方面做出成绩（注：已获得的学士、硕士或博士学位为国（境）外学位的，其所获得的国（境）外学位需经教育部留学服务中心认证）。</w:t>
      </w:r>
    </w:p>
    <w:p>
      <w:pPr>
        <w:spacing w:beforeLines="50"/>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七、学习年限及收费</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 xml:space="preserve">1. </w:t>
      </w:r>
      <w:r>
        <w:rPr>
          <w:rFonts w:ascii="宋体" w:hAnsi="宋体" w:eastAsia="宋体" w:cs="宋体"/>
          <w:szCs w:val="21"/>
        </w:rPr>
        <w:t>同等学力申请硕士学位分为两个阶段：课程学习阶段（简称第一阶段）和撰写学位论文及答辩阶段（简称第二阶段）。申请人自通过资格审查之日起，须在八年内完成两个阶段的学习。</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2. 第一阶段：申请人自通过资格审查之日起，1-2年内完成学校组织的全部课程考试，并在6年内通过国家组织的全部水平考试，且成绩合格。未通过课程考试和国家组织的水平考试者，本次申请无效。</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3. 第二阶段：申请人通过学位授予单位组织的全部课程考试和国家组织的水平考试后，完成学位论文的开题、撰写和答辩。</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4. 收费标准：</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第一阶段：课程学习培养费22000元</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第二阶段：学位申请费12000元</w:t>
      </w:r>
    </w:p>
    <w:p>
      <w:pPr>
        <w:pStyle w:val="5"/>
        <w:widowControl/>
        <w:shd w:val="clear" w:color="auto" w:fill="FFFFFF"/>
        <w:spacing w:before="0" w:beforeAutospacing="0" w:after="0" w:afterAutospacing="0" w:line="400" w:lineRule="exact"/>
        <w:ind w:firstLine="480" w:firstLineChars="200"/>
        <w:rPr>
          <w:rFonts w:ascii="Times New Roman" w:hAnsi="Times New Roman" w:eastAsia="宋体"/>
          <w:sz w:val="21"/>
          <w:szCs w:val="21"/>
        </w:rPr>
      </w:pPr>
      <w:r>
        <w:rPr>
          <w:rFonts w:hint="eastAsia" w:ascii="宋体" w:hAnsi="宋体" w:eastAsia="宋体" w:cs="宋体"/>
          <w:szCs w:val="21"/>
        </w:rPr>
        <w:t>申请人须按时缴纳学费到学校财务账号，具体收费标准以当年度审批备案标准为准。学位申请费在通过学位相关考试进入论文写作环节时交清。</w:t>
      </w:r>
      <w:r>
        <w:rPr>
          <w:rFonts w:hint="eastAsia" w:ascii="Times New Roman" w:hAnsi="Times New Roman" w:eastAsia="宋体"/>
          <w:b/>
          <w:bCs/>
          <w:sz w:val="21"/>
          <w:szCs w:val="21"/>
        </w:rPr>
        <w:t>学校未委托任何第三方机构或个人代理本项目招生、培训及收费等事宜，所有费用一经交纳，概不退回</w:t>
      </w:r>
      <w:r>
        <w:rPr>
          <w:rFonts w:hint="eastAsia" w:ascii="Times New Roman" w:hAnsi="Times New Roman" w:eastAsia="宋体"/>
          <w:sz w:val="21"/>
          <w:szCs w:val="21"/>
        </w:rPr>
        <w:t>。</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申请步骤和缴费方式详见《湖南科技大学2023年同等学力人员申请硕士学位招生简章》。</w:t>
      </w:r>
    </w:p>
    <w:p>
      <w:pPr>
        <w:spacing w:beforeLines="50"/>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八、颁发证书</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 xml:space="preserve">1. </w:t>
      </w:r>
      <w:r>
        <w:rPr>
          <w:rFonts w:ascii="宋体" w:hAnsi="宋体" w:eastAsia="宋体" w:cs="宋体"/>
          <w:szCs w:val="21"/>
        </w:rPr>
        <w:t>申</w:t>
      </w:r>
      <w:r>
        <w:rPr>
          <w:rFonts w:hint="eastAsia" w:ascii="宋体" w:hAnsi="宋体" w:eastAsia="宋体" w:cs="宋体"/>
          <w:szCs w:val="21"/>
        </w:rPr>
        <w:t>请人在学校规定学习年限内，修完培养方案规定的全部课程，但因未能通过国家统考的外语水平考试和完成学位论文等原因，学校准予结业，发给结业证书。</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2. 申请硕士学位者，参照《国务院学位委员会关于授予具有研究生毕业同等学力硕士学位的规定》要求，按时通过国家统考的外语水平考试和论文答辩，按照湖南科技大学申请同等学力硕士学位的流程完成各项申请工作，经学校学位委员会评定通过，可授予中国语言文学硕士学位。</w:t>
      </w:r>
    </w:p>
    <w:p>
      <w:pPr>
        <w:spacing w:beforeLines="50"/>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九、报名咨询</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ascii="宋体" w:hAnsi="宋体" w:eastAsia="宋体" w:cs="宋体"/>
          <w:szCs w:val="21"/>
        </w:rPr>
        <w:t>地</w:t>
      </w:r>
      <w:r>
        <w:rPr>
          <w:rFonts w:hint="eastAsia" w:ascii="宋体" w:hAnsi="宋体" w:eastAsia="宋体" w:cs="宋体"/>
          <w:szCs w:val="21"/>
        </w:rPr>
        <w:t xml:space="preserve">  </w:t>
      </w:r>
      <w:r>
        <w:rPr>
          <w:rFonts w:ascii="宋体" w:hAnsi="宋体" w:eastAsia="宋体" w:cs="宋体"/>
          <w:szCs w:val="21"/>
        </w:rPr>
        <w:t>址：湖南科技大学</w:t>
      </w:r>
      <w:r>
        <w:rPr>
          <w:rFonts w:hint="eastAsia" w:ascii="宋体" w:hAnsi="宋体" w:eastAsia="宋体" w:cs="宋体"/>
          <w:szCs w:val="21"/>
        </w:rPr>
        <w:t>立言楼B504办公室</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联系人：李云峰老师</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手  机：19373221909</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座  机：0731-5291415</w:t>
      </w:r>
    </w:p>
    <w:p>
      <w:pPr>
        <w:pStyle w:val="5"/>
        <w:widowControl/>
        <w:shd w:val="clear" w:color="auto" w:fill="FFFFFF"/>
        <w:spacing w:before="0" w:beforeAutospacing="0" w:after="0" w:afterAutospacing="0" w:line="400" w:lineRule="exact"/>
        <w:ind w:firstLine="480" w:firstLineChars="200"/>
        <w:rPr>
          <w:rFonts w:ascii="宋体" w:hAnsi="宋体" w:eastAsia="宋体" w:cs="宋体"/>
          <w:szCs w:val="21"/>
        </w:rPr>
      </w:pPr>
      <w:r>
        <w:rPr>
          <w:rFonts w:hint="eastAsia" w:ascii="宋体" w:hAnsi="宋体" w:eastAsia="宋体" w:cs="宋体"/>
          <w:szCs w:val="21"/>
        </w:rPr>
        <w:t>负责人：袁星洁副院长</w:t>
      </w:r>
    </w:p>
    <w:p>
      <w:pPr>
        <w:pStyle w:val="5"/>
        <w:widowControl/>
        <w:shd w:val="clear" w:color="auto" w:fill="FFFFFF"/>
        <w:spacing w:before="0" w:beforeAutospacing="0" w:after="0" w:afterAutospacing="0" w:line="400" w:lineRule="exact"/>
        <w:ind w:firstLine="480" w:firstLineChars="200"/>
        <w:rPr>
          <w:rFonts w:hint="default" w:ascii="宋体" w:hAnsi="宋体" w:eastAsia="宋体" w:cs="宋体"/>
          <w:szCs w:val="21"/>
          <w:lang w:val="en-US" w:eastAsia="zh-CN"/>
        </w:rPr>
      </w:pPr>
      <w:r>
        <w:rPr>
          <w:rFonts w:hint="eastAsia" w:ascii="宋体" w:hAnsi="宋体" w:eastAsia="宋体" w:cs="宋体"/>
          <w:szCs w:val="21"/>
        </w:rPr>
        <w:t>手  机：</w:t>
      </w:r>
      <w:r>
        <w:rPr>
          <w:rFonts w:hint="eastAsia" w:ascii="宋体" w:hAnsi="宋体" w:eastAsia="宋体" w:cs="宋体"/>
          <w:szCs w:val="21"/>
          <w:lang w:val="en-US" w:eastAsia="zh-CN"/>
        </w:rPr>
        <w:t>18707323278</w:t>
      </w:r>
    </w:p>
    <w:p>
      <w:pPr>
        <w:pStyle w:val="5"/>
        <w:widowControl/>
        <w:shd w:val="clear" w:color="auto" w:fill="FFFFFF"/>
        <w:spacing w:before="0" w:beforeAutospacing="0" w:after="0" w:afterAutospacing="0" w:line="400" w:lineRule="exact"/>
        <w:ind w:firstLine="480" w:firstLineChars="200"/>
        <w:rPr>
          <w:rFonts w:hint="default" w:ascii="宋体" w:hAnsi="宋体" w:eastAsia="宋体" w:cs="宋体"/>
          <w:szCs w:val="21"/>
          <w:lang w:val="en-US" w:eastAsia="zh-CN"/>
        </w:rPr>
      </w:pPr>
      <w:r>
        <w:rPr>
          <w:rFonts w:hint="eastAsia" w:ascii="宋体" w:hAnsi="宋体" w:eastAsia="宋体" w:cs="宋体"/>
          <w:szCs w:val="21"/>
        </w:rPr>
        <w:t>座  机：</w:t>
      </w:r>
      <w:r>
        <w:rPr>
          <w:rFonts w:hint="eastAsia" w:ascii="宋体" w:hAnsi="宋体" w:eastAsia="宋体" w:cs="宋体"/>
          <w:szCs w:val="21"/>
          <w:lang w:val="en-US" w:eastAsia="zh-CN"/>
        </w:rPr>
        <w:t>0731-58291152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57364"/>
    <w:multiLevelType w:val="multilevel"/>
    <w:tmpl w:val="0CD573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NmY3OGY5ZGQzZTg3NDdlYmVmYTQxYjU4ZWU3ZjkifQ=="/>
  </w:docVars>
  <w:rsids>
    <w:rsidRoot w:val="6906376B"/>
    <w:rsid w:val="000F718B"/>
    <w:rsid w:val="001B0C30"/>
    <w:rsid w:val="00321D0E"/>
    <w:rsid w:val="00335299"/>
    <w:rsid w:val="0046131F"/>
    <w:rsid w:val="004B44F2"/>
    <w:rsid w:val="005701A3"/>
    <w:rsid w:val="008F428A"/>
    <w:rsid w:val="00BD6209"/>
    <w:rsid w:val="00C56764"/>
    <w:rsid w:val="00C91E3D"/>
    <w:rsid w:val="21550DCB"/>
    <w:rsid w:val="215A724E"/>
    <w:rsid w:val="23914D8D"/>
    <w:rsid w:val="2A4B57F3"/>
    <w:rsid w:val="2D2F0F51"/>
    <w:rsid w:val="372B4B80"/>
    <w:rsid w:val="491B4291"/>
    <w:rsid w:val="549B63CC"/>
    <w:rsid w:val="549D39D1"/>
    <w:rsid w:val="5B253E47"/>
    <w:rsid w:val="5CB00B96"/>
    <w:rsid w:val="61EB2991"/>
    <w:rsid w:val="62516533"/>
    <w:rsid w:val="6906376B"/>
    <w:rsid w:val="6AA85AD3"/>
    <w:rsid w:val="76DA1737"/>
    <w:rsid w:val="7B3E036B"/>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1861</Words>
  <Characters>2051</Characters>
  <Lines>15</Lines>
  <Paragraphs>4</Paragraphs>
  <TotalTime>1</TotalTime>
  <ScaleCrop>false</ScaleCrop>
  <LinksUpToDate>false</LinksUpToDate>
  <CharactersWithSpaces>2069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2023-06-27T01:38:00Z</dcterms:created>
  <dc:creator>众木成林</dc:creator>
  <cp:lastModifiedBy>Administrator</cp:lastModifiedBy>
  <dcterms:modified xsi:type="dcterms:W3CDTF">2023-06-30T10:24:12Z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6B392D920A0F49FF8BDB8739C0DA9CA5_13</vt:lpwstr>
  </property>
</Properties>
</file>